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4E62" w14:textId="40D0B400" w:rsidR="00E208A9" w:rsidRDefault="00C53FA5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SMLOUVA NA ZAJIŠTĚNÍ SPRÁVY A ÚDRŽBY MĚSTSKÝCH KAŠEN, FONTÁN</w:t>
      </w:r>
      <w:r w:rsidR="00A616F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AUTOMATICKÉHO ZÁVLAHOVÉHO SYSTÉMU </w:t>
      </w:r>
      <w:r w:rsidR="00A616F7">
        <w:rPr>
          <w:rFonts w:ascii="Times New Roman" w:hAnsi="Times New Roman"/>
          <w:b/>
          <w:sz w:val="24"/>
          <w:szCs w:val="24"/>
        </w:rPr>
        <w:t xml:space="preserve">A SYSTÉMU VODNÍ MLHY </w:t>
      </w:r>
      <w:r>
        <w:rPr>
          <w:rFonts w:ascii="Times New Roman" w:hAnsi="Times New Roman"/>
          <w:b/>
          <w:sz w:val="24"/>
          <w:szCs w:val="24"/>
        </w:rPr>
        <w:t>VE VLASTNICTVÍ STATUTÁRNÍHO MĚSTA TEPLICE č. .../202</w:t>
      </w:r>
      <w:r w:rsidR="00DA2BD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/OŽP </w:t>
      </w:r>
    </w:p>
    <w:p w14:paraId="6211D540" w14:textId="77777777" w:rsidR="00E208A9" w:rsidRDefault="00C53FA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smlouva</w:t>
      </w:r>
    </w:p>
    <w:p w14:paraId="612ED54F" w14:textId="77777777" w:rsidR="00E208A9" w:rsidRDefault="00E208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BA2877" w14:textId="77777777" w:rsidR="00E208A9" w:rsidRDefault="00E208A9">
      <w:pPr>
        <w:rPr>
          <w:rFonts w:ascii="Times New Roman" w:hAnsi="Times New Roman"/>
          <w:sz w:val="24"/>
          <w:szCs w:val="24"/>
        </w:rPr>
      </w:pPr>
    </w:p>
    <w:p w14:paraId="6CAF453B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1AFFC6C5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Statutární město Teplice</w:t>
      </w:r>
    </w:p>
    <w:p w14:paraId="6179416A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náměstí Svobody 2/2, 415 95 Teplice</w:t>
      </w:r>
    </w:p>
    <w:p w14:paraId="03CF7526" w14:textId="77777777" w:rsidR="00E208A9" w:rsidRDefault="00C53FA5"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Dagmar Teuschelovou, vedoucí odboru životního prostředí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Magistrátu města Teplice</w:t>
      </w:r>
    </w:p>
    <w:p w14:paraId="48CDED06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KB Teplice</w:t>
      </w:r>
    </w:p>
    <w:p w14:paraId="1F0ADE31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226-501/0100</w:t>
      </w:r>
    </w:p>
    <w:p w14:paraId="7EFABD90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00266621</w:t>
      </w:r>
    </w:p>
    <w:p w14:paraId="74472D41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CZ00266621</w:t>
      </w:r>
    </w:p>
    <w:p w14:paraId="699FFED6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Zaměstnanci pověření k úkonům ve věcech této smlouvy: Ing. Dagmar Teuschelová, vedoucí OŽP</w:t>
      </w:r>
    </w:p>
    <w:p w14:paraId="3A004B0F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technických a administrativních: Jarmila Jurčíková, odborný referent OŽP</w:t>
      </w:r>
    </w:p>
    <w:p w14:paraId="384C46D5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" objednatel "</w:t>
      </w:r>
    </w:p>
    <w:p w14:paraId="61461EB0" w14:textId="77777777" w:rsidR="00E208A9" w:rsidRDefault="00E208A9">
      <w:pPr>
        <w:rPr>
          <w:rFonts w:ascii="Times New Roman" w:hAnsi="Times New Roman"/>
          <w:sz w:val="24"/>
          <w:szCs w:val="24"/>
        </w:rPr>
      </w:pPr>
    </w:p>
    <w:p w14:paraId="5A142073" w14:textId="77777777" w:rsidR="00E208A9" w:rsidRDefault="00C53F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a</w:t>
      </w:r>
    </w:p>
    <w:p w14:paraId="512DC5CD" w14:textId="77777777" w:rsidR="00E208A9" w:rsidRDefault="00E208A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Mkatabulky"/>
        <w:tblW w:w="932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52"/>
        <w:gridCol w:w="5670"/>
      </w:tblGrid>
      <w:tr w:rsidR="00E208A9" w14:paraId="0392E37D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A2422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Zhotovitel: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7419244F" w14:textId="77777777" w:rsidR="00E208A9" w:rsidRDefault="00E208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08A9" w14:paraId="59724609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DDE65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3BB99412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69045983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BCC3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6157311F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7E811C66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ADBF7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Bankovní spojení: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5B0589B7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3C1DB22D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B7CFA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3166497B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44F69535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2E8E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448BDEFE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2E74D677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6F16A" w14:textId="77777777" w:rsidR="00E208A9" w:rsidRDefault="00C53F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5283D35" w14:textId="77777777" w:rsidR="00E208A9" w:rsidRDefault="00C53F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Zápis v OR/ŽR: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53C101F4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3C4CE18E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717D" w14:textId="77777777" w:rsidR="00E208A9" w:rsidRDefault="00C53F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Zaměstnanci pověření k úkonům ve věcech této smlouvy: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6992B594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666B924C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5E8EA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 věcech technických: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02753B2B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A9" w14:paraId="52E09B85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857DC" w14:textId="77777777" w:rsidR="00E208A9" w:rsidRDefault="00C53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 věcech administrativních: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51AF7321" w14:textId="77777777" w:rsidR="00E208A9" w:rsidRDefault="00E2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BB11B0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" zhotovitel "</w:t>
      </w:r>
    </w:p>
    <w:p w14:paraId="5CA254A4" w14:textId="77777777" w:rsidR="00E208A9" w:rsidRDefault="00C53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A961143" w14:textId="77777777" w:rsidR="00E208A9" w:rsidRDefault="00C53FA5">
      <w:pPr>
        <w:pStyle w:val="WW-Zkladntext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strany, vědomy si svých závazků v této smlouvě obsažených a s úmyslem být touto smlouvou vázány, dohodly se na následujícím znění smlouvy:</w:t>
      </w:r>
    </w:p>
    <w:p w14:paraId="4A211094" w14:textId="77777777" w:rsidR="00E208A9" w:rsidRDefault="00E208A9">
      <w:pPr>
        <w:rPr>
          <w:rFonts w:ascii="Times New Roman" w:hAnsi="Times New Roman"/>
          <w:sz w:val="24"/>
          <w:szCs w:val="24"/>
        </w:rPr>
      </w:pPr>
    </w:p>
    <w:p w14:paraId="7185E46A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I.</w:t>
      </w:r>
    </w:p>
    <w:p w14:paraId="3898B0DE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ustanovení a prohlášení smluvních stran</w:t>
      </w:r>
    </w:p>
    <w:p w14:paraId="54C5FFF3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Objednatel prohlašuje, že je oprávněn tuto smlouvu uzavřít a řádně plnit závazky v ní obsažené.</w:t>
      </w:r>
    </w:p>
    <w:p w14:paraId="4AF8FC2C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Zhotovitel prohlašuje, že splňuje veškeré podmínky pro poskytování plnění, které je předmětem této </w:t>
      </w:r>
      <w:r>
        <w:rPr>
          <w:rFonts w:ascii="Times New Roman" w:hAnsi="Times New Roman"/>
          <w:sz w:val="24"/>
          <w:szCs w:val="24"/>
        </w:rPr>
        <w:tab/>
        <w:t xml:space="preserve">smlouvy a požadavky v této smlouvě stanovené a je oprávněn tuto smlouvu uzavřít a řádně plnit </w:t>
      </w:r>
      <w:r>
        <w:rPr>
          <w:rFonts w:ascii="Times New Roman" w:hAnsi="Times New Roman"/>
          <w:sz w:val="24"/>
          <w:szCs w:val="24"/>
        </w:rPr>
        <w:tab/>
        <w:t>závazky v ní obsažené.</w:t>
      </w:r>
    </w:p>
    <w:p w14:paraId="4CEEF73B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068F64B5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II.</w:t>
      </w:r>
    </w:p>
    <w:p w14:paraId="4617382A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03D276E2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3C27647D" w14:textId="2A3180AF" w:rsidR="00E208A9" w:rsidRDefault="00C53FA5">
      <w:pPr>
        <w:pStyle w:val="Textkomente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Předmětem smlouvy je správa a údržba městských kašen, fontán</w:t>
      </w:r>
      <w:r w:rsidR="00216F5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automatického závlahového systému </w:t>
      </w:r>
      <w:r w:rsidR="00216F58">
        <w:rPr>
          <w:rFonts w:ascii="Times New Roman" w:hAnsi="Times New Roman"/>
          <w:sz w:val="24"/>
          <w:szCs w:val="24"/>
        </w:rPr>
        <w:t xml:space="preserve">a systému vodní mlhy </w:t>
      </w:r>
      <w:r>
        <w:rPr>
          <w:rFonts w:ascii="Times New Roman" w:hAnsi="Times New Roman"/>
          <w:sz w:val="24"/>
          <w:szCs w:val="24"/>
        </w:rPr>
        <w:t>(dále jen „kašen“) na území Statutárního města Teplice. Soupis všech kašen, včetně jejich vybavení, způsobu napouštění, dopouštění, vypouštění a údržby (pasport kašen), je přílohou č. 2 a zákres umístění kašen v </w:t>
      </w:r>
      <w:r w:rsidR="00DA2BD5">
        <w:rPr>
          <w:rFonts w:ascii="Times New Roman" w:hAnsi="Times New Roman"/>
          <w:sz w:val="24"/>
          <w:szCs w:val="24"/>
        </w:rPr>
        <w:t>mapě (</w:t>
      </w:r>
      <w:r>
        <w:rPr>
          <w:rFonts w:ascii="Times New Roman" w:hAnsi="Times New Roman"/>
          <w:sz w:val="24"/>
          <w:szCs w:val="24"/>
        </w:rPr>
        <w:t xml:space="preserve">seznam kašen a fontán) je přílohou č. 3 této smlouvy. </w:t>
      </w:r>
    </w:p>
    <w:p w14:paraId="4E46E594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10E23443" w14:textId="77777777" w:rsidR="00E208A9" w:rsidRDefault="00C53FA5">
      <w:pPr>
        <w:ind w:firstLine="708"/>
        <w:jc w:val="both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Předmět jednotlivých činností je vymezen a specifikován následovně:</w:t>
      </w:r>
    </w:p>
    <w:p w14:paraId="50FBAB7B" w14:textId="77777777" w:rsidR="00E208A9" w:rsidRDefault="00C53FA5">
      <w:pPr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Správa kašen</w:t>
      </w:r>
      <w:r>
        <w:rPr>
          <w:rFonts w:ascii="Times New Roman" w:hAnsi="Times New Roman"/>
          <w:sz w:val="24"/>
          <w:szCs w:val="24"/>
        </w:rPr>
        <w:t xml:space="preserve"> – touto činností je myšleno zejména:</w:t>
      </w:r>
    </w:p>
    <w:p w14:paraId="61EE6FEA" w14:textId="77777777" w:rsidR="00E208A9" w:rsidRDefault="00C53FA5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hlášení závad a provedení oprav (drobných, v rámci údržby) nebo potřeby provedení oprav (e-mailem)</w:t>
      </w:r>
    </w:p>
    <w:p w14:paraId="134842DF" w14:textId="77777777" w:rsidR="00E208A9" w:rsidRDefault="00C53FA5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vedení provozního deníku každé kašny (zapisování prováděných činností bodu A. a B. předmětu činnosti)</w:t>
      </w:r>
    </w:p>
    <w:p w14:paraId="563A16D7" w14:textId="77777777" w:rsidR="00E208A9" w:rsidRDefault="00C53FA5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pravidelné měsíční odečítání stavu vodoměrů a elektroměrů u jednotlivých kašen během sezóny a zapisování těchto stavů do tabulek</w:t>
      </w:r>
    </w:p>
    <w:p w14:paraId="0D8B07EE" w14:textId="77777777" w:rsidR="00E208A9" w:rsidRDefault="00C53FA5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nahlašování škod způsobených cizím zaviněním včetně vyčíslení a důvodu škody (e-mailem)</w:t>
      </w:r>
    </w:p>
    <w:p w14:paraId="29BBF66D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2AE97995" w14:textId="77777777" w:rsidR="00E208A9" w:rsidRDefault="00C53FA5">
      <w:pPr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Údržba kašen </w:t>
      </w:r>
      <w:r>
        <w:rPr>
          <w:rFonts w:ascii="Times New Roman" w:hAnsi="Times New Roman"/>
          <w:bCs/>
          <w:sz w:val="24"/>
          <w:szCs w:val="24"/>
        </w:rPr>
        <w:t xml:space="preserve">– touto činností je myšleno zejména: </w:t>
      </w:r>
    </w:p>
    <w:p w14:paraId="59EA15A1" w14:textId="77777777" w:rsidR="00E208A9" w:rsidRDefault="00C53FA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činnosti prováděné v sezóně</w:t>
      </w:r>
    </w:p>
    <w:p w14:paraId="044CACCA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denní vizuální kontrola kašen</w:t>
      </w:r>
    </w:p>
    <w:p w14:paraId="0C8D790F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denní čištění hladin kašen</w:t>
      </w:r>
    </w:p>
    <w:p w14:paraId="2A69E65A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denní čištění ventilů, jímek, rozvodů, košů, čerpadel</w:t>
      </w:r>
    </w:p>
    <w:p w14:paraId="3BB6E37C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denní kontrola množství vody, zajištění dopouštění </w:t>
      </w:r>
    </w:p>
    <w:p w14:paraId="7241EF40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denní kontrola a seřízení funkčnosti nastavení časů na hodinách </w:t>
      </w:r>
    </w:p>
    <w:p w14:paraId="668456F8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případě nefunkčního hlídače vodní hladiny dodávka a montáž nového </w:t>
      </w:r>
    </w:p>
    <w:p w14:paraId="7E095782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seřízení trysek, v případě jejich poškození dodávka a montáž nových</w:t>
      </w:r>
    </w:p>
    <w:p w14:paraId="476F1A40" w14:textId="4C91B1BC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denní seřízení osvětlení, v případě jeho poškození dodávka a montáž žárovek  </w:t>
      </w:r>
    </w:p>
    <w:p w14:paraId="0C4EE531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týdenní večerní kontrola svítivosti</w:t>
      </w:r>
    </w:p>
    <w:p w14:paraId="49BB3768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měsíční výměna vody v bazénech, včetně vyčištění dna a stěn bazénů</w:t>
      </w:r>
    </w:p>
    <w:p w14:paraId="2E4969DF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případě potřeby zatmelení drobných prasklin nádrží</w:t>
      </w:r>
    </w:p>
    <w:p w14:paraId="516F68BA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ničení řas a mikroorganismů v bazénech vhodným </w:t>
      </w:r>
      <w:r>
        <w:rPr>
          <w:rFonts w:ascii="Times New Roman" w:hAnsi="Times New Roman"/>
          <w:sz w:val="24"/>
          <w:szCs w:val="24"/>
        </w:rPr>
        <w:t>přípravkem, který je k danému účelu schválený a bude dávkován v předepsané koncentraci a přiměřeném množství, a to s ohledem na klimatické podmínky a stav vody v bazénu</w:t>
      </w:r>
    </w:p>
    <w:p w14:paraId="3A1183CF" w14:textId="77777777" w:rsidR="00E208A9" w:rsidRDefault="00C53FA5">
      <w:pPr>
        <w:pStyle w:val="Odstavecseseznamem"/>
        <w:numPr>
          <w:ilvl w:val="0"/>
          <w:numId w:val="4"/>
        </w:numPr>
        <w:tabs>
          <w:tab w:val="right" w:leader="dot" w:pos="8789"/>
        </w:tabs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držení pohotovosti, a to v případě havárie, živelné pohromy, kalamitní situace, kdy dojezdový čas je do 1 hod. od nahlášení, přičemž za nahlášení se považuje zpráva elektronické pošty doručená na adresu zhotovitele: </w:t>
      </w:r>
      <w:r>
        <w:rPr>
          <w:rFonts w:ascii="Times New Roman" w:hAnsi="Times New Roman"/>
          <w:sz w:val="24"/>
          <w:szCs w:val="24"/>
          <w:shd w:val="clear" w:color="auto" w:fill="FFFF99"/>
        </w:rPr>
        <w:t>.............</w:t>
      </w:r>
      <w:r>
        <w:rPr>
          <w:rFonts w:ascii="Times New Roman" w:hAnsi="Times New Roman"/>
          <w:sz w:val="24"/>
          <w:szCs w:val="24"/>
        </w:rPr>
        <w:t xml:space="preserve"> nebo na tel. spojení zhotovitele </w:t>
      </w:r>
      <w:r>
        <w:rPr>
          <w:rFonts w:ascii="Times New Roman" w:hAnsi="Times New Roman"/>
          <w:sz w:val="24"/>
          <w:szCs w:val="24"/>
          <w:shd w:val="clear" w:color="auto" w:fill="FFFF99"/>
        </w:rPr>
        <w:t>..............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FA66AD" w14:textId="77777777" w:rsidR="00E208A9" w:rsidRDefault="00C53FA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činnosti prováděné před zahájením sezóny</w:t>
      </w:r>
    </w:p>
    <w:p w14:paraId="3D41E9D1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odstranění (a uskladnění) gumového pásu na fontáně Kolonáda včetně přesunutí 3 ks betonových květináčů vedle fontány</w:t>
      </w:r>
    </w:p>
    <w:p w14:paraId="24B3D124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odstranění (a uskladnění) ochranné plachty z fontány Koně, Florida a z Porcelánové fontány </w:t>
      </w:r>
    </w:p>
    <w:p w14:paraId="216B203B" w14:textId="04CC1566" w:rsidR="00E208A9" w:rsidRPr="00A616F7" w:rsidRDefault="00A616F7" w:rsidP="00A616F7">
      <w:pPr>
        <w:pStyle w:val="Odstavecseseznamem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A616F7">
        <w:rPr>
          <w:rFonts w:ascii="Times New Roman" w:hAnsi="Times New Roman"/>
          <w:bCs/>
          <w:sz w:val="24"/>
          <w:szCs w:val="24"/>
        </w:rPr>
        <w:t>objednání firmy Aquastart kvůli kontrole a spuštění automatického závlahového systému a firmy Infocom s.r.o.  kvůli kontrole a spuštění systému vodní mlhy, a to včetně přivezení uskladněného příslušenství</w:t>
      </w:r>
      <w:r w:rsidR="00C53FA5" w:rsidRPr="00A616F7">
        <w:rPr>
          <w:rFonts w:ascii="Times New Roman" w:hAnsi="Times New Roman"/>
          <w:bCs/>
          <w:sz w:val="24"/>
          <w:szCs w:val="24"/>
        </w:rPr>
        <w:t xml:space="preserve"> </w:t>
      </w:r>
    </w:p>
    <w:p w14:paraId="25C03C38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vyskladnění, vyčištění a montáž čerpadel</w:t>
      </w:r>
    </w:p>
    <w:p w14:paraId="5AD30071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vyskladnění, vyčištění a montáž osvětlení</w:t>
      </w:r>
    </w:p>
    <w:p w14:paraId="6BC4CF8E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vyskladnění, vyčištění a montáž ostatního příslušenství</w:t>
      </w:r>
    </w:p>
    <w:p w14:paraId="785B78FD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zajištění potřebných elektro revizí dle ČSN</w:t>
      </w:r>
    </w:p>
    <w:p w14:paraId="683D6C3B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vyčištění, zatmelení a nátěr stěn a den nádrží a bazénů</w:t>
      </w:r>
    </w:p>
    <w:p w14:paraId="176E0A0C" w14:textId="77777777" w:rsidR="00E208A9" w:rsidRDefault="00C53FA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činnosti prováděné po ukončení sezóny</w:t>
      </w:r>
    </w:p>
    <w:p w14:paraId="73843670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překrytí fontány Kolonáda gumovým pásem a zatížení 3 ks betonových květináčů (jsou vedle fontány)</w:t>
      </w:r>
    </w:p>
    <w:p w14:paraId="32295CDA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instalace ochranné plachty na fontánu Koně, Florida a na Porcelánovou fontánu</w:t>
      </w:r>
    </w:p>
    <w:p w14:paraId="77DBDBE7" w14:textId="5A3AC73E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objednání </w:t>
      </w:r>
      <w:r w:rsidR="00A616F7" w:rsidRPr="00A616F7">
        <w:rPr>
          <w:rFonts w:ascii="Times New Roman" w:hAnsi="Times New Roman"/>
          <w:bCs/>
          <w:sz w:val="24"/>
          <w:szCs w:val="24"/>
        </w:rPr>
        <w:t>firmy Aquastart kvůli kontrole a zazimování závlahového systému a firmy Infocom s.r.o.  kvůli kontrole a zazimování systému vodní mlhy, a to včetně odvozu a uskladnění příslušenství</w:t>
      </w:r>
    </w:p>
    <w:p w14:paraId="48901C69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demontáž, vyčištění a uskladnění čerpadel </w:t>
      </w:r>
    </w:p>
    <w:p w14:paraId="5B9ECCC6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demontáž, vyčištění a uskladnění osvětlení</w:t>
      </w:r>
    </w:p>
    <w:p w14:paraId="76229F98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demontáž, vyčištění a uskladnění ostatního příslušenství</w:t>
      </w:r>
    </w:p>
    <w:p w14:paraId="295177FE" w14:textId="77777777" w:rsidR="00E208A9" w:rsidRDefault="00C53FA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 x týdně kontrola a vybírání nečistot (listí, drobný SKO) z bazénů </w:t>
      </w:r>
    </w:p>
    <w:p w14:paraId="357502CC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64F91670" w14:textId="77777777" w:rsidR="00E208A9" w:rsidRDefault="00C53FA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Dále je předmětem smlouvy:</w:t>
      </w:r>
    </w:p>
    <w:p w14:paraId="42DEA7B8" w14:textId="77777777" w:rsidR="00E208A9" w:rsidRDefault="00C53FA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povolení vjezdu techniky do lokalit, kde je tohoto povolení třeba (zejména pro kašny umístěny v parcích)</w:t>
      </w:r>
    </w:p>
    <w:p w14:paraId="72D5204C" w14:textId="5FDDF0CE" w:rsidR="00E208A9" w:rsidRDefault="00C53FA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zvláštního užívání komunikací a veřejných ploch (zábor, </w:t>
      </w:r>
      <w:r w:rsidR="00DA2BD5">
        <w:rPr>
          <w:rFonts w:ascii="Times New Roman" w:hAnsi="Times New Roman"/>
          <w:sz w:val="24"/>
          <w:szCs w:val="24"/>
        </w:rPr>
        <w:t>uzavírky</w:t>
      </w:r>
      <w:r>
        <w:rPr>
          <w:rFonts w:ascii="Times New Roman" w:hAnsi="Times New Roman"/>
          <w:sz w:val="24"/>
          <w:szCs w:val="24"/>
        </w:rPr>
        <w:t xml:space="preserve"> atd.), bude-li třeba</w:t>
      </w:r>
    </w:p>
    <w:p w14:paraId="7544F75F" w14:textId="77777777" w:rsidR="00E208A9" w:rsidRDefault="00C53FA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dopravního značení, bude-li třeba</w:t>
      </w:r>
    </w:p>
    <w:p w14:paraId="71D2E9C6" w14:textId="77777777" w:rsidR="00E208A9" w:rsidRDefault="00C53FA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uhrazení příslušných správních poplatků, bude-li třeba</w:t>
      </w:r>
    </w:p>
    <w:p w14:paraId="435F5148" w14:textId="77777777" w:rsidR="00E208A9" w:rsidRDefault="00C53FA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realizaci zakázky postupovat v souladu se všemi ČSN souvisejícími s předmětem plnění</w:t>
      </w:r>
    </w:p>
    <w:p w14:paraId="3ABE16D7" w14:textId="77777777" w:rsidR="00E208A9" w:rsidRDefault="00E208A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297F0E39" w14:textId="77777777" w:rsidR="00E208A9" w:rsidRDefault="00E208A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0A516B90" w14:textId="77777777" w:rsidR="00E208A9" w:rsidRDefault="00C53FA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Předmětem smlouvy nejsou:</w:t>
      </w:r>
    </w:p>
    <w:p w14:paraId="70983865" w14:textId="77777777" w:rsidR="00E208A9" w:rsidRDefault="00C53FA5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platby za napouštění vody z řadu a vypouštění vody do kanalizace (vodné/stočné)</w:t>
      </w:r>
    </w:p>
    <w:p w14:paraId="1AB866AA" w14:textId="77777777" w:rsidR="00E208A9" w:rsidRDefault="00C53FA5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platby za elektrickou energii</w:t>
      </w:r>
    </w:p>
    <w:p w14:paraId="2F4757DC" w14:textId="77777777" w:rsidR="00E208A9" w:rsidRDefault="00C53FA5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dodávka, montáž (v případě možnosti oprava) čerpadel a dalších komponentů kašen, které budou poničeny vandaly nebo opotřebeny a nefunkční. V případě nefunkčnosti některého z komponentů kašen je nutné (formou průběžných zápisů zhotovitele v provozním deníku, které budou pravidelně kontrolovány odpovědným pracovníkem OŽP) prokázat, že nebyla zanedbána řádná pravidelná údržba. Po předložení cenové nabídky na dodávku a montáž nových komponentů bude zhotoviteli předána písemná objednávka.</w:t>
      </w:r>
    </w:p>
    <w:p w14:paraId="5F024D11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76535D37" w14:textId="77777777" w:rsidR="00E208A9" w:rsidRDefault="00C53FA5">
      <w:pPr>
        <w:ind w:firstLine="708"/>
        <w:jc w:val="both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Pro výklad některých pojmů předmětu plnění:</w:t>
      </w:r>
    </w:p>
    <w:p w14:paraId="772BF13A" w14:textId="77777777" w:rsidR="00E208A9" w:rsidRDefault="00C53FA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sezóna: období od 15/04 do 15/10 kalendářního roku</w:t>
      </w:r>
    </w:p>
    <w:p w14:paraId="6BD22DC9" w14:textId="77777777" w:rsidR="00E208A9" w:rsidRDefault="00C53FA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denní kontrola nebo čištění: pracovní dny sezóny</w:t>
      </w:r>
    </w:p>
    <w:p w14:paraId="793371A0" w14:textId="77777777" w:rsidR="00E208A9" w:rsidRDefault="00C53FA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uskladněním jednotlivých komponentů je myšleno uskladnění (včetně pojištění) v areálu zhotovitele</w:t>
      </w:r>
    </w:p>
    <w:p w14:paraId="459AFFD6" w14:textId="77777777" w:rsidR="00E208A9" w:rsidRDefault="00C53FA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činnosti prováděné po ukončení sezóny uvedené v bodech 22. – 28. budou provedeny nejpozději do 15/11 kalendářního roku</w:t>
      </w:r>
    </w:p>
    <w:p w14:paraId="66558031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7923D4A1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III.</w:t>
      </w:r>
    </w:p>
    <w:p w14:paraId="6EA115DA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a doba plnění</w:t>
      </w:r>
    </w:p>
    <w:p w14:paraId="34D045A8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350D0271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Místo plnění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kašny na území Statutárního města Teplice, jejichž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soupis, včetně jejich vybavení, způsobu napouštění, dopouštění, vypouštění a údržby (pasport kašen), je přílohou č. 2 a zákres umístění kašen v mapě (seznam kašen a fontán) je přílohou č. 3 této smlouvy.  </w:t>
      </w:r>
    </w:p>
    <w:p w14:paraId="4F237CAC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1F72A13C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Zhotovitel prohlašuje, že byl seznámen s umístěním a technologií provozu předmětu plnění.</w:t>
      </w:r>
    </w:p>
    <w:p w14:paraId="0BA050F8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204EE93A" w14:textId="7FEDF7E1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Doba plnění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od 1. 1. 202</w:t>
      </w:r>
      <w:r w:rsidR="00DA2BD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do 31. 12. 202</w:t>
      </w:r>
      <w:r w:rsidR="00DA2BD5">
        <w:rPr>
          <w:rFonts w:ascii="Times New Roman" w:hAnsi="Times New Roman"/>
          <w:sz w:val="24"/>
          <w:szCs w:val="24"/>
        </w:rPr>
        <w:t>7</w:t>
      </w:r>
    </w:p>
    <w:p w14:paraId="0E561337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72BE0DA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</w:t>
      </w:r>
    </w:p>
    <w:p w14:paraId="095DC3B2" w14:textId="37DBFBFA" w:rsidR="00E208A9" w:rsidRDefault="00C53FA5">
      <w:pPr>
        <w:ind w:left="705" w:hanging="705"/>
        <w:jc w:val="center"/>
        <w:rPr>
          <w:rFonts w:ascii="Times New Roman" w:hAnsi="Times New Roman"/>
          <w:color w:val="4F81BD" w:themeColor="accen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Platební </w:t>
      </w:r>
      <w:r w:rsidR="00DA2BD5">
        <w:rPr>
          <w:rFonts w:ascii="Times New Roman" w:hAnsi="Times New Roman"/>
          <w:b/>
          <w:color w:val="000000" w:themeColor="text1"/>
          <w:sz w:val="24"/>
          <w:szCs w:val="24"/>
        </w:rPr>
        <w:t>podmínky – cena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díla a fakturace</w:t>
      </w:r>
    </w:p>
    <w:p w14:paraId="6D29357D" w14:textId="77777777" w:rsidR="00E208A9" w:rsidRDefault="00E208A9">
      <w:pPr>
        <w:pStyle w:val="Odstavecseseznamem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F5F498" w14:textId="77777777" w:rsidR="00E208A9" w:rsidRDefault="00E208A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6B5528B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zaplatit zhotoviteli cenu za provedení díla. Cena je stanovena na základě ceníku (tabulky 1-2), který je nedílnou součástí a přílohou této smlouvy (příloha č. 1 tabulka č. 1), a na základě rozpisu paušálních plateb (příloha č. 1 tabulka č. 2). </w:t>
      </w:r>
    </w:p>
    <w:p w14:paraId="052C8AD9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18D74CF9" w14:textId="77777777" w:rsidR="00E208A9" w:rsidRDefault="00C53FA5">
      <w:pPr>
        <w:pStyle w:val="Odstavecseseznamem"/>
        <w:numPr>
          <w:ilvl w:val="0"/>
          <w:numId w:val="8"/>
        </w:numPr>
        <w:ind w:left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obsahuje veškeré náklady, které při dané činnosti vzniknou a které s ní souvisí, jakož i veškeré náklady, které dodavateli vzniknou z povinností uložených touto smlouvou.</w:t>
      </w:r>
    </w:p>
    <w:p w14:paraId="16B0B165" w14:textId="77777777" w:rsidR="00E208A9" w:rsidRDefault="00E208A9">
      <w:pPr>
        <w:pStyle w:val="Odstavecseseznamem"/>
        <w:ind w:left="708"/>
        <w:jc w:val="both"/>
        <w:rPr>
          <w:rFonts w:ascii="Times New Roman" w:hAnsi="Times New Roman"/>
          <w:sz w:val="24"/>
          <w:szCs w:val="24"/>
        </w:rPr>
      </w:pPr>
    </w:p>
    <w:p w14:paraId="1392275E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 nutnosti provádění víceprací se víceprací rozumí změna formy, kvality či kvantity díla oproti řešení, které objednatel odsouhlasil při jednání o uzavření smlouvy a které zadal jako podmínky pro přípravu nabídky zhotovitele, pokud taková změna byla odsouhlasena objednatelem a pokud byl vydán pokyn k provedení víceprací, ve kterém byla sjednána cena víceprací, jejich rozsah a platební podmínky. Práce, které zhotovitel provede bez předchozího pokynu, nemá objednatel povinnost uhradit. Trvá-li na tom objednatel, musí zhotovitel takové práce odstranit na svůj náklad a uvést stav do souladu s poskytnutými podklady.</w:t>
      </w:r>
    </w:p>
    <w:p w14:paraId="68FCF30C" w14:textId="77777777" w:rsidR="00E208A9" w:rsidRDefault="00E208A9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14:paraId="4B051283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uhradí zhotoviteli cenu díla na základě dokladu ("faktura") vystaveného zhotovitelem, převodním příkazem na účet zhotovitele. Splatnost faktury zhotovitele je 15 dnů od data doručení faktury objednateli. V pochybnostech se má za to, že faktura byla objednateli doručena třetí pracovní den po odeslání doporučeným dopisem na adresu uvedenou v záhlaví této smlouvy. Faktura musí </w:t>
      </w:r>
      <w:r>
        <w:rPr>
          <w:rFonts w:ascii="Times New Roman" w:hAnsi="Times New Roman"/>
          <w:sz w:val="24"/>
          <w:szCs w:val="24"/>
        </w:rPr>
        <w:lastRenderedPageBreak/>
        <w:t xml:space="preserve">obsahovat veškeré náležitosti dle předpisů o účetnictví a dle daňových předpisů a dle této smlouvy. V případě, že faktura nebude obsahovat potřebné náležitosti nebo bude obsahovat chybné či neúplné údaje, je objednatel oprávněn ji vrátit zhotoviteli k opravě či doplnění. Po vrácení faktury nové či opravené počíná běžet nová lhůta splatnosti. </w:t>
      </w:r>
    </w:p>
    <w:p w14:paraId="1CA40ECC" w14:textId="77777777" w:rsidR="00E208A9" w:rsidRDefault="00E208A9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14:paraId="5CD86E77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Položky přílohy č. 1 tabulky č. 1 budou účtovány vždy za uplynulý kalendářní měsíc v souladu s přílohou č. 1 tabulkou č. 2 (rozpis paušálních plateb). </w:t>
      </w:r>
    </w:p>
    <w:p w14:paraId="7612BA92" w14:textId="77777777" w:rsidR="00E208A9" w:rsidRDefault="00E208A9">
      <w:pPr>
        <w:rPr>
          <w:rFonts w:ascii="Times New Roman" w:hAnsi="Times New Roman"/>
          <w:sz w:val="24"/>
          <w:szCs w:val="24"/>
        </w:rPr>
      </w:pPr>
    </w:p>
    <w:p w14:paraId="478C7018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i zhotovitel prohlašují, že s takto určenou cenou díla a platebními podmínkami souhlasí. Objednatel prohlašuje, že má dostatečné prostředky na úhradu smluvní ceny díla a zavazuje se zaplatit sjednanou cenu díla včetně DPH včas a řádným způsobem v souladu s uvedenými podmínkami.</w:t>
      </w:r>
    </w:p>
    <w:p w14:paraId="71B528B3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4DE74F04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Dnem uskutečnění zdanitelného plnění je poslední den v měsíci.</w:t>
      </w:r>
    </w:p>
    <w:p w14:paraId="3DCF2D30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50055105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DPH bude účtováno ve výši vyplývající z právních předpisů účinných v době provádění plnění.</w:t>
      </w:r>
    </w:p>
    <w:p w14:paraId="77020AB3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246165B9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Fakturační údaje:</w:t>
      </w:r>
    </w:p>
    <w:p w14:paraId="478824E0" w14:textId="7AA2671A" w:rsidR="00E208A9" w:rsidRDefault="00DA2BD5">
      <w:pPr>
        <w:ind w:left="284" w:firstLine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Objednatel: Statutární</w:t>
      </w:r>
      <w:r w:rsidR="00C53FA5">
        <w:rPr>
          <w:rFonts w:ascii="Times New Roman" w:hAnsi="Times New Roman"/>
          <w:sz w:val="24"/>
          <w:szCs w:val="24"/>
        </w:rPr>
        <w:t xml:space="preserve"> město Teplice</w:t>
      </w:r>
    </w:p>
    <w:p w14:paraId="4CFB87D5" w14:textId="77777777" w:rsidR="00E208A9" w:rsidRDefault="00C53FA5">
      <w:pPr>
        <w:pStyle w:val="Odstavecseseznamem"/>
        <w:numPr>
          <w:ilvl w:val="3"/>
          <w:numId w:val="8"/>
        </w:numPr>
        <w:ind w:left="2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 náměstí Svobody 2/2, 415 95 Teplice</w:t>
      </w:r>
    </w:p>
    <w:p w14:paraId="6896C3C7" w14:textId="77777777" w:rsidR="00E208A9" w:rsidRDefault="00C53FA5">
      <w:pPr>
        <w:pStyle w:val="Odstavecseseznamem"/>
        <w:numPr>
          <w:ilvl w:val="3"/>
          <w:numId w:val="8"/>
        </w:numPr>
        <w:ind w:left="2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00266621</w:t>
      </w:r>
    </w:p>
    <w:p w14:paraId="7AE19B7B" w14:textId="77777777" w:rsidR="00E208A9" w:rsidRDefault="00C53FA5">
      <w:pPr>
        <w:pStyle w:val="Odstavecseseznamem"/>
        <w:numPr>
          <w:ilvl w:val="3"/>
          <w:numId w:val="8"/>
        </w:numPr>
        <w:ind w:left="2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CZ00266621</w:t>
      </w:r>
    </w:p>
    <w:p w14:paraId="3C16B6FE" w14:textId="77777777" w:rsidR="00E208A9" w:rsidRDefault="00C53FA5">
      <w:pPr>
        <w:pStyle w:val="Odstavecseseznamem"/>
        <w:numPr>
          <w:ilvl w:val="3"/>
          <w:numId w:val="8"/>
        </w:numPr>
        <w:ind w:left="2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Komerční banka, a. s. pobočka Teplice</w:t>
      </w:r>
    </w:p>
    <w:p w14:paraId="4E770B1C" w14:textId="77777777" w:rsidR="00E208A9" w:rsidRDefault="00C53FA5">
      <w:pPr>
        <w:pStyle w:val="Odstavecseseznamem"/>
        <w:numPr>
          <w:ilvl w:val="3"/>
          <w:numId w:val="8"/>
        </w:numPr>
        <w:ind w:left="2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226-501/0100</w:t>
      </w:r>
    </w:p>
    <w:p w14:paraId="47F20D09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2BEAE045" w14:textId="77777777" w:rsidR="00E208A9" w:rsidRDefault="00C53FA5">
      <w:pPr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Zhotovitel:</w:t>
      </w:r>
      <w:r>
        <w:rPr>
          <w:rFonts w:ascii="Times New Roman" w:hAnsi="Times New Roman"/>
          <w:sz w:val="24"/>
          <w:szCs w:val="24"/>
        </w:rPr>
        <w:tab/>
      </w:r>
    </w:p>
    <w:p w14:paraId="6CAA9446" w14:textId="77777777" w:rsidR="00E208A9" w:rsidRDefault="00C53FA5">
      <w:pPr>
        <w:pStyle w:val="Odstavecseseznamem"/>
        <w:numPr>
          <w:ilvl w:val="0"/>
          <w:numId w:val="9"/>
        </w:numPr>
        <w:shd w:val="clear" w:color="auto" w:fill="FFFF9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</w:p>
    <w:p w14:paraId="67074022" w14:textId="77777777" w:rsidR="00E208A9" w:rsidRDefault="00C53FA5">
      <w:pPr>
        <w:pStyle w:val="Odstavecseseznamem"/>
        <w:numPr>
          <w:ilvl w:val="0"/>
          <w:numId w:val="9"/>
        </w:numPr>
        <w:shd w:val="clear" w:color="auto" w:fill="FFFF9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IČ: </w:t>
      </w:r>
    </w:p>
    <w:p w14:paraId="1C343830" w14:textId="77777777" w:rsidR="00E208A9" w:rsidRDefault="00C53FA5">
      <w:pPr>
        <w:pStyle w:val="Odstavecseseznamem"/>
        <w:numPr>
          <w:ilvl w:val="0"/>
          <w:numId w:val="9"/>
        </w:numPr>
        <w:shd w:val="clear" w:color="auto" w:fill="FFFF9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DIČ: </w:t>
      </w:r>
    </w:p>
    <w:p w14:paraId="1A5C4921" w14:textId="77777777" w:rsidR="00E208A9" w:rsidRDefault="00C53FA5">
      <w:pPr>
        <w:pStyle w:val="Odstavecseseznamem"/>
        <w:numPr>
          <w:ilvl w:val="0"/>
          <w:numId w:val="9"/>
        </w:numPr>
        <w:shd w:val="clear" w:color="auto" w:fill="FFFF9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Bankovní spojení: </w:t>
      </w:r>
    </w:p>
    <w:p w14:paraId="616E3999" w14:textId="77777777" w:rsidR="00E208A9" w:rsidRDefault="00C53FA5">
      <w:pPr>
        <w:pStyle w:val="Odstavecseseznamem"/>
        <w:numPr>
          <w:ilvl w:val="0"/>
          <w:numId w:val="9"/>
        </w:numPr>
        <w:shd w:val="clear" w:color="auto" w:fill="FFFF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</w:p>
    <w:p w14:paraId="5CA48EC7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0064D39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7CCD50E1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plnění je splatná bankovním převodem na účet zhotovitele uvedený ve faktuře.</w:t>
      </w:r>
    </w:p>
    <w:p w14:paraId="6BA4CB63" w14:textId="77777777" w:rsidR="00E208A9" w:rsidRDefault="00E208A9">
      <w:pPr>
        <w:rPr>
          <w:rFonts w:ascii="Times New Roman" w:hAnsi="Times New Roman"/>
          <w:sz w:val="24"/>
          <w:szCs w:val="24"/>
        </w:rPr>
      </w:pPr>
    </w:p>
    <w:p w14:paraId="2C1B745A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má právo kdykoli omezit rozsah zakázky, tj. omezit jakýmkoli způsobem rozsah činností na jednotlivých objektech, případně některý z objektů vyjmout z předmětu plnění této smlouvy. V tomto případě má objednatel právo požadovat provedení takové změny v rozsahu plnění díla ve lhůtě deseti pracovních dnů. V tomto případě bude snížení ceny kalkulováno podle cen uvedených v příloze č. 1 – tabulka č. 1 a bude adekvátně upraven rozpis paušálních plateb – tabulka č. 2.</w:t>
      </w:r>
    </w:p>
    <w:p w14:paraId="344B5D03" w14:textId="77777777" w:rsidR="00E208A9" w:rsidRDefault="00E208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4A3C1E65" w14:textId="77777777" w:rsidR="00E208A9" w:rsidRDefault="00C53FA5">
      <w:pPr>
        <w:pStyle w:val="Odstavecseseznamem"/>
        <w:numPr>
          <w:ilvl w:val="0"/>
          <w:numId w:val="8"/>
        </w:numPr>
        <w:ind w:lef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na tuto smlouvu a z ní vyplývající práva a povinnosti stran se nevztahují ustanovení § 1793, § 1794, § 1799 a § 1800 zákona č. 89/2012 Sb. Smluvní strany se rovněž dohodly, že zhotovitel na sebe přebírá nebezpečí změny okolností ve smyslu ustanovení § 1765 odst. 2 občanského zákoníku. To znamená, že zhotoviteli nevznikne vůči objednateli při změně okolností právo domáhat se obnovení jednání o smlouvě ani zvýšení ceny za dílo ani zrušení smlouvy. </w:t>
      </w:r>
    </w:p>
    <w:p w14:paraId="7F66EE84" w14:textId="77777777" w:rsidR="00E208A9" w:rsidRDefault="00C53FA5">
      <w:pPr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D93863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6A55004F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59F9C870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5E8B668C" w14:textId="77777777" w:rsidR="00E208A9" w:rsidRDefault="00C53FA5">
      <w:pPr>
        <w:jc w:val="both"/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Zhotovitel je povinen zajistit, aby při provádění činností dle této smlouvy byly dodrženy obecně </w:t>
      </w:r>
      <w:r>
        <w:rPr>
          <w:rFonts w:ascii="Times New Roman" w:hAnsi="Times New Roman"/>
          <w:sz w:val="24"/>
          <w:szCs w:val="24"/>
        </w:rPr>
        <w:tab/>
        <w:t xml:space="preserve">závazné předpisy, zejména pak obecně závazné právní předpisy vymezující pravidla bezpečnosti </w:t>
      </w:r>
      <w:r>
        <w:rPr>
          <w:rFonts w:ascii="Times New Roman" w:hAnsi="Times New Roman"/>
          <w:sz w:val="24"/>
          <w:szCs w:val="24"/>
        </w:rPr>
        <w:tab/>
        <w:t xml:space="preserve">a ochrany zdraví při práci a požární ochraně, jakož i technické a technologické normy vztahující se </w:t>
      </w:r>
      <w:r>
        <w:rPr>
          <w:rFonts w:ascii="Times New Roman" w:hAnsi="Times New Roman"/>
          <w:sz w:val="24"/>
          <w:szCs w:val="24"/>
        </w:rPr>
        <w:tab/>
        <w:t xml:space="preserve">na předmět smlouvy včetně zajištění elektro revizí, stejně tak jako předpisy k ochraně životního </w:t>
      </w:r>
      <w:r>
        <w:rPr>
          <w:rFonts w:ascii="Times New Roman" w:hAnsi="Times New Roman"/>
          <w:sz w:val="24"/>
          <w:szCs w:val="24"/>
        </w:rPr>
        <w:tab/>
        <w:t>prostředí.</w:t>
      </w:r>
    </w:p>
    <w:p w14:paraId="24E9FE59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Zhotovitel je povinen zajistit, aby nedošlo ke škodám na majetku objednatele ani třetích osob.</w:t>
      </w:r>
    </w:p>
    <w:p w14:paraId="3FCF6EFA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ab/>
        <w:t xml:space="preserve">Zhotovitel je povinen vést deník prováděných činností, ve kterém budou čitelně a denně </w:t>
      </w:r>
      <w:r>
        <w:rPr>
          <w:rFonts w:ascii="Times New Roman" w:hAnsi="Times New Roman"/>
          <w:sz w:val="24"/>
          <w:szCs w:val="24"/>
        </w:rPr>
        <w:tab/>
        <w:t xml:space="preserve">zaznamenávány prováděné činnosti tak, aby pověřené osoby objednatele mohly prověřit kvalitu a </w:t>
      </w:r>
      <w:r>
        <w:rPr>
          <w:rFonts w:ascii="Times New Roman" w:hAnsi="Times New Roman"/>
          <w:sz w:val="24"/>
          <w:szCs w:val="24"/>
        </w:rPr>
        <w:tab/>
        <w:t xml:space="preserve">rozsah provedených prací a tyto uvedené skutečnosti stvrdit svým podpisem. Deník bude kdykoliv </w:t>
      </w:r>
      <w:r>
        <w:rPr>
          <w:rFonts w:ascii="Times New Roman" w:hAnsi="Times New Roman"/>
          <w:sz w:val="24"/>
          <w:szCs w:val="24"/>
        </w:rPr>
        <w:tab/>
        <w:t xml:space="preserve">přístupný pověřeným osobám objednatele. Zápisy v deníku, potvrzené oběma smluvními stranami, </w:t>
      </w:r>
      <w:r>
        <w:rPr>
          <w:rFonts w:ascii="Times New Roman" w:hAnsi="Times New Roman"/>
          <w:sz w:val="24"/>
          <w:szCs w:val="24"/>
        </w:rPr>
        <w:tab/>
        <w:t>budou k dispozici pro obě smluvní strany. Zápisy do deníku ze strany objednatele budou provádět osoby pověřené.</w:t>
      </w:r>
    </w:p>
    <w:p w14:paraId="13E15413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Zjistí-li zhotovitel při provádění plnění překážky, bránící vykonání služby, je povinen tuto skutečnost </w:t>
      </w:r>
      <w:r>
        <w:rPr>
          <w:rFonts w:ascii="Times New Roman" w:hAnsi="Times New Roman"/>
          <w:sz w:val="24"/>
          <w:szCs w:val="24"/>
        </w:rPr>
        <w:tab/>
        <w:t>neprodleně oznámit objednateli s návrhem řešení.</w:t>
      </w:r>
    </w:p>
    <w:p w14:paraId="46631BEB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V případě, že objednatel nezamezí výskytu překážek bránících vykonání služby, zhotovitel může </w:t>
      </w:r>
      <w:r>
        <w:rPr>
          <w:rFonts w:ascii="Times New Roman" w:hAnsi="Times New Roman"/>
          <w:sz w:val="24"/>
          <w:szCs w:val="24"/>
        </w:rPr>
        <w:tab/>
        <w:t xml:space="preserve">provést službu v rámci možností v omezeném rozsahu. V takovém případě se nejedná o porušení </w:t>
      </w:r>
      <w:r>
        <w:rPr>
          <w:rFonts w:ascii="Times New Roman" w:hAnsi="Times New Roman"/>
          <w:sz w:val="24"/>
          <w:szCs w:val="24"/>
        </w:rPr>
        <w:tab/>
        <w:t>povinností ze strany zhotovitele.</w:t>
      </w:r>
      <w:r>
        <w:rPr>
          <w:rFonts w:ascii="Times New Roman" w:hAnsi="Times New Roman"/>
          <w:sz w:val="24"/>
          <w:szCs w:val="24"/>
        </w:rPr>
        <w:tab/>
      </w:r>
    </w:p>
    <w:p w14:paraId="6332D6FE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 xml:space="preserve">Zhotovitel je povinen kdykoli v průběhu provádění díla na žádost objednatele předložit kompletní seznam částí díla prováděných prostřednictvím poddodavatelů včetně identifikace těchto poddodavatelů. </w:t>
      </w:r>
    </w:p>
    <w:p w14:paraId="306EB933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Zhotovitel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 to vždy do 10 pracovních dnů od obdržení platby ze strany objednatele za konkrétní plnění. Zhotovitel se zavazuje přenést totožnou povinnost do dalších úrovní dodavatelského řetězce a zavázat své poddodavatele k plnění a šíření této povinnosti též do nižších úrovní dodavatelského řetězce.</w:t>
      </w:r>
    </w:p>
    <w:p w14:paraId="22C394B9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  <w:t>Zhotovitel se zavazuje zajistit dodržování pracovněprávních předpisů, zejména zákona č. 262/2006 Sb., zákoník práce, ve znění pozdějších předpisů, (se zvláštním zřetelem na regulaci odměňování, pracovní doby, doby odpočinku mezi směnami, atp.), zákona 435/2004 Sb., o zaměstnanosti, ve znění pozdějších předpisů (se zvláštním zřetelem na regulaci zaměstnávání cizinců), a to vůči všem osobám, které se na provádění díla podílejí a bez ohledu na to, zda jsou práce na díle prováděny bezprostředně zhotovitelem či jeho poddodavateli.</w:t>
      </w:r>
    </w:p>
    <w:p w14:paraId="442D43B7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178B9A66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</w:t>
      </w:r>
    </w:p>
    <w:p w14:paraId="61AF0981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škodu, pojištění</w:t>
      </w:r>
    </w:p>
    <w:p w14:paraId="130C7A86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60C5264B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Každá ze stran nese odpovědnost za jí způsobenou škodu v rámci platných právních předpisů a této </w:t>
      </w:r>
      <w:r>
        <w:rPr>
          <w:rFonts w:ascii="Times New Roman" w:hAnsi="Times New Roman"/>
          <w:sz w:val="24"/>
          <w:szCs w:val="24"/>
        </w:rPr>
        <w:tab/>
        <w:t xml:space="preserve">smlouvy. Obě strany se zavazují k vyvinutí maximálního úsilí k předcházení škod a k minimalizaci </w:t>
      </w:r>
      <w:r>
        <w:rPr>
          <w:rFonts w:ascii="Times New Roman" w:hAnsi="Times New Roman"/>
          <w:sz w:val="24"/>
          <w:szCs w:val="24"/>
        </w:rPr>
        <w:tab/>
        <w:t>vzniklých škod.</w:t>
      </w:r>
    </w:p>
    <w:p w14:paraId="065AED42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Zhotovitel odpovídá za škody na majetku objednatele, případně třetích osob, způsobené zhotovitelem  </w:t>
      </w:r>
    </w:p>
    <w:p w14:paraId="694CA091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v souvislosti s plněním předmětu smlouvy porušením smluvních povinností.</w:t>
      </w:r>
    </w:p>
    <w:p w14:paraId="3BB8BF3B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Zhotovitel se zavazuje obezřetně nakládat s majetkem objednatele, odevzdat veškeré používané </w:t>
      </w:r>
      <w:r>
        <w:rPr>
          <w:rFonts w:ascii="Times New Roman" w:hAnsi="Times New Roman"/>
          <w:sz w:val="24"/>
          <w:szCs w:val="24"/>
        </w:rPr>
        <w:tab/>
        <w:t xml:space="preserve">zařízení a přístroje bez zjevného poškození. Za zjevné poškození se nepovažuje závada vzniklá </w:t>
      </w:r>
      <w:r>
        <w:rPr>
          <w:rFonts w:ascii="Times New Roman" w:hAnsi="Times New Roman"/>
          <w:sz w:val="24"/>
          <w:szCs w:val="24"/>
        </w:rPr>
        <w:tab/>
        <w:t>přirozeným opotřebením.</w:t>
      </w:r>
    </w:p>
    <w:p w14:paraId="398D0B22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 xml:space="preserve">Zhotovitel se zavazuje, že v případě poškození nebo zničení věci, se kterou nebo na které </w:t>
      </w:r>
      <w:r>
        <w:rPr>
          <w:rFonts w:ascii="Times New Roman" w:hAnsi="Times New Roman"/>
          <w:sz w:val="24"/>
          <w:szCs w:val="24"/>
        </w:rPr>
        <w:tab/>
        <w:t xml:space="preserve">vykonával objednanou činnost, bude sepsán protokol o škodě na majetku a uplatněná škoda bude </w:t>
      </w:r>
    </w:p>
    <w:p w14:paraId="72F0E2E0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likvidována prostřednictvím pojišťovny, se kterou má zhotovitel sjednáno pojištění odpovědnosti za </w:t>
      </w:r>
      <w:r>
        <w:rPr>
          <w:rFonts w:ascii="Times New Roman" w:hAnsi="Times New Roman"/>
          <w:sz w:val="24"/>
          <w:szCs w:val="24"/>
        </w:rPr>
        <w:tab/>
        <w:t>škodu.</w:t>
      </w:r>
    </w:p>
    <w:p w14:paraId="1E3CAF2D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1919184F" w14:textId="4089CCD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 xml:space="preserve">Zhotovitel má po celou dobu účinnosti smlouvy uzavřeno platné pojištění odpovědnosti za škodu </w:t>
      </w:r>
      <w:r>
        <w:rPr>
          <w:rFonts w:ascii="Times New Roman" w:hAnsi="Times New Roman"/>
          <w:sz w:val="24"/>
          <w:szCs w:val="24"/>
        </w:rPr>
        <w:tab/>
        <w:t xml:space="preserve">způsobenou provozní činností s limitem plnění ve výši </w:t>
      </w:r>
      <w:r w:rsidR="00DA2BD5">
        <w:rPr>
          <w:rFonts w:ascii="Times New Roman" w:hAnsi="Times New Roman"/>
          <w:sz w:val="24"/>
          <w:szCs w:val="24"/>
        </w:rPr>
        <w:t>10.000.000, -</w:t>
      </w:r>
      <w:r>
        <w:rPr>
          <w:rFonts w:ascii="Times New Roman" w:hAnsi="Times New Roman"/>
          <w:sz w:val="24"/>
          <w:szCs w:val="24"/>
        </w:rPr>
        <w:t xml:space="preserve"> Kč (slovy: deset miliónů korun </w:t>
      </w:r>
      <w:r>
        <w:rPr>
          <w:rFonts w:ascii="Times New Roman" w:hAnsi="Times New Roman"/>
          <w:sz w:val="24"/>
          <w:szCs w:val="24"/>
        </w:rPr>
        <w:tab/>
        <w:t xml:space="preserve">českých). </w:t>
      </w:r>
    </w:p>
    <w:p w14:paraId="72C642B2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VII</w:t>
      </w:r>
    </w:p>
    <w:p w14:paraId="3AF9A91D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Záruka za jakost, reklamace</w:t>
      </w:r>
    </w:p>
    <w:p w14:paraId="16D9A085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35EFBFC5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Zhotovitel se zavazuje provádět plnění dle této smlouvy v souladu s požadavky objednatele a v souladu s právními předpisy. </w:t>
      </w:r>
    </w:p>
    <w:p w14:paraId="499CBDE9" w14:textId="2D8FE435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 xml:space="preserve">Objednatel je povinen vady a nedostatky plnění zhotovitele nahlásit zhotoviteli neprodleně po jejich zjištění. Zhotovitel je </w:t>
      </w:r>
      <w:r>
        <w:rPr>
          <w:rFonts w:ascii="Times New Roman" w:hAnsi="Times New Roman"/>
          <w:sz w:val="24"/>
          <w:szCs w:val="24"/>
        </w:rPr>
        <w:tab/>
        <w:t xml:space="preserve">povinen neprodleně prošetřit oznámené vady a nedostatky objednatelem a v případě, že bylo plnění </w:t>
      </w:r>
      <w:r>
        <w:rPr>
          <w:rFonts w:ascii="Times New Roman" w:hAnsi="Times New Roman"/>
          <w:sz w:val="24"/>
          <w:szCs w:val="24"/>
        </w:rPr>
        <w:tab/>
        <w:t xml:space="preserve">z jeho strany provedeno v rozporu se smluvním ujednáním, provede plnění opakovaně, v souladu se </w:t>
      </w:r>
      <w:r>
        <w:rPr>
          <w:rFonts w:ascii="Times New Roman" w:hAnsi="Times New Roman"/>
          <w:sz w:val="24"/>
          <w:szCs w:val="24"/>
        </w:rPr>
        <w:tab/>
        <w:t xml:space="preserve">smlouvou, </w:t>
      </w:r>
      <w:r w:rsidR="00DA2BD5">
        <w:rPr>
          <w:rFonts w:ascii="Times New Roman" w:hAnsi="Times New Roman"/>
          <w:sz w:val="24"/>
          <w:szCs w:val="24"/>
        </w:rPr>
        <w:t>bezplatně,</w:t>
      </w:r>
      <w:r>
        <w:rPr>
          <w:rFonts w:ascii="Times New Roman" w:hAnsi="Times New Roman"/>
          <w:sz w:val="24"/>
          <w:szCs w:val="24"/>
        </w:rPr>
        <w:t xml:space="preserve"> a to nejpozději do tří (3) pracovních dnů </w:t>
      </w:r>
      <w:r>
        <w:rPr>
          <w:rFonts w:ascii="Times New Roman" w:hAnsi="Times New Roman"/>
          <w:sz w:val="24"/>
          <w:szCs w:val="24"/>
        </w:rPr>
        <w:lastRenderedPageBreak/>
        <w:t xml:space="preserve">ode dne nahlášení vady či nedostatku. </w:t>
      </w:r>
      <w:r>
        <w:rPr>
          <w:rFonts w:ascii="Times New Roman" w:hAnsi="Times New Roman"/>
          <w:sz w:val="24"/>
          <w:szCs w:val="24"/>
        </w:rPr>
        <w:tab/>
        <w:t xml:space="preserve">O odstranění vad a nedostatků pořídí zhotovitel zápis do provozního deníku, který předá objednateli za účelem potvrzení správnosti údajů tam uvedených. V ostatních případech bude postupováno v souladu s ustanoveními občanského zákoníku. </w:t>
      </w:r>
    </w:p>
    <w:p w14:paraId="1D2E6937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Pokud se jedná o služby či plnění, která jsou předávána a přebírána samostatnými protokoly, pak objednatel může jednotlivou službu či plnění převzít i tehdy, pokud má drobné vady a nedodělky. Tyto je zhotovitel povinen odstranit nejpozději následující pracovní den po dni protokolárního převzetí příslušné služby či plnění. Pokud tak neučiní, může objednatel požadovat smluvní pokutu ve výši 500,- Kč za každou vadu a den prodlení. </w:t>
      </w:r>
    </w:p>
    <w:p w14:paraId="18872718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    Zhotovitel je povinen odstranit vady svého plnění dle této smlouvy v záruční době, která se sjednává v délce 12 měsíců ode dne poskytnutí konkrétního plnění. </w:t>
      </w:r>
    </w:p>
    <w:p w14:paraId="13F37B78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7ED46376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VIII</w:t>
      </w:r>
    </w:p>
    <w:p w14:paraId="34F8A0E7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pokuta</w:t>
      </w:r>
    </w:p>
    <w:p w14:paraId="41417B49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0823704C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V případě, že bude zhotovitel v prodlení se splněním kterékoliv části plnění nebo neodstraní ve stanoveném termínu zjištěné vady a nedostatky, zavazuje zaplatit objednateli smluvní pokutu ve výši 500,- Kč za každý den prodlení se splněním jednotlivé konkrétní části plnění anebo ve výši 500,- Kč za každou neodstraněnou vadu a za každý den prodlení v případě prodlení s odstraněním vydy.</w:t>
      </w:r>
    </w:p>
    <w:p w14:paraId="5297BFBE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Neuhradí-li objednatel řádně a včas fakturu, zavazuje se zaplatit zhotoviteli úrok z prodlení ve výši </w:t>
      </w:r>
      <w:r>
        <w:rPr>
          <w:rFonts w:ascii="Times New Roman" w:hAnsi="Times New Roman"/>
          <w:sz w:val="24"/>
          <w:szCs w:val="24"/>
        </w:rPr>
        <w:tab/>
        <w:t>stanovené obecně závazným předpisem.</w:t>
      </w:r>
    </w:p>
    <w:p w14:paraId="22A3B557" w14:textId="77777777" w:rsidR="00E208A9" w:rsidRDefault="00C53FA5">
      <w:pPr>
        <w:ind w:left="705" w:hanging="705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3. 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>V případě, že zhotovitel poruší některou z povinností, které jsou mu uloženy v čl. V. odst. 6. a 7. smlouvy (předložení seznamu poddodavatelů; plnění finančních závazků vůči poddodavatelům), je zhotovitel povinen zaplatit smluvní pokutu ve výši 15000,- Kč za každý den prodlení se splněním povinnosti.</w:t>
      </w:r>
    </w:p>
    <w:p w14:paraId="7D7091DC" w14:textId="4140491A" w:rsidR="00E208A9" w:rsidRDefault="00C53FA5">
      <w:pPr>
        <w:ind w:left="705" w:hanging="705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  <w:lang w:eastAsia="en-US"/>
        </w:rPr>
        <w:t>4.</w:t>
      </w:r>
      <w:r>
        <w:rPr>
          <w:lang w:eastAsia="en-US"/>
        </w:rPr>
        <w:tab/>
      </w:r>
      <w:r>
        <w:rPr>
          <w:rFonts w:ascii="Times New Roman" w:eastAsia="Times New Roman" w:hAnsi="Times New Roman"/>
          <w:sz w:val="24"/>
          <w:szCs w:val="20"/>
        </w:rPr>
        <w:t>V případě, že zhotovitel poruší svou povinnost podle čl. V. odst. 8. smlouvy (dodržování pracovněprávních předpisů), je zhotovitel povinen zaplatit objednateli</w:t>
      </w:r>
      <w:r w:rsidR="007E054A">
        <w:rPr>
          <w:rFonts w:ascii="Times New Roman" w:eastAsia="Times New Roman" w:hAnsi="Times New Roman"/>
          <w:sz w:val="24"/>
          <w:szCs w:val="20"/>
        </w:rPr>
        <w:t xml:space="preserve"> smluvní pokutu ve výši </w:t>
      </w:r>
      <w:r w:rsidR="00DA2BD5">
        <w:rPr>
          <w:rFonts w:ascii="Times New Roman" w:eastAsia="Times New Roman" w:hAnsi="Times New Roman"/>
          <w:sz w:val="24"/>
          <w:szCs w:val="20"/>
        </w:rPr>
        <w:t>1.000,</w:t>
      </w:r>
      <w:r w:rsidR="00216F58">
        <w:rPr>
          <w:rFonts w:ascii="Times New Roman" w:eastAsia="Times New Roman" w:hAnsi="Times New Roman"/>
          <w:sz w:val="24"/>
          <w:szCs w:val="20"/>
        </w:rPr>
        <w:t xml:space="preserve">- </w:t>
      </w:r>
      <w:r>
        <w:rPr>
          <w:rFonts w:ascii="Times New Roman" w:eastAsia="Times New Roman" w:hAnsi="Times New Roman"/>
          <w:sz w:val="24"/>
          <w:szCs w:val="20"/>
        </w:rPr>
        <w:t xml:space="preserve">Kč za každý případ porušení </w:t>
      </w:r>
      <w:r w:rsidR="00216F58">
        <w:rPr>
          <w:rFonts w:ascii="Times New Roman" w:eastAsia="Times New Roman" w:hAnsi="Times New Roman"/>
          <w:sz w:val="24"/>
          <w:szCs w:val="20"/>
        </w:rPr>
        <w:t>povinnosti,</w:t>
      </w:r>
      <w:r>
        <w:rPr>
          <w:rFonts w:ascii="Times New Roman" w:eastAsia="Times New Roman" w:hAnsi="Times New Roman"/>
          <w:sz w:val="24"/>
          <w:szCs w:val="20"/>
        </w:rPr>
        <w:t xml:space="preserve"> a i každý den trvání porušení povinnosti.</w:t>
      </w:r>
    </w:p>
    <w:p w14:paraId="62989B28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853FA6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IX</w:t>
      </w:r>
    </w:p>
    <w:p w14:paraId="79E78F47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Součinnost a vzájemná komunikace </w:t>
      </w:r>
    </w:p>
    <w:p w14:paraId="43709E0A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526BBA3A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Zhotovitel se zavazuje provádět plnění operativně dle pokynů objednatele v termínech vyplývajících </w:t>
      </w:r>
      <w:r>
        <w:rPr>
          <w:rFonts w:ascii="Times New Roman" w:hAnsi="Times New Roman"/>
          <w:sz w:val="24"/>
          <w:szCs w:val="24"/>
        </w:rPr>
        <w:tab/>
        <w:t>z této smlouvy, zejména článku II smlouvy.</w:t>
      </w:r>
    </w:p>
    <w:p w14:paraId="09D41FAF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 xml:space="preserve">Smluvní strany se zavazují vzájemně spolupracovat a poskytovat si veškeré informace potřebné pro </w:t>
      </w:r>
      <w:r>
        <w:rPr>
          <w:rFonts w:ascii="Times New Roman" w:hAnsi="Times New Roman"/>
          <w:sz w:val="24"/>
          <w:szCs w:val="24"/>
        </w:rPr>
        <w:tab/>
        <w:t xml:space="preserve">řádné plnění svých závazků. Smluvní strany jsou povinny informovat druhou smluvní stranu o </w:t>
      </w:r>
      <w:r>
        <w:rPr>
          <w:rFonts w:ascii="Times New Roman" w:hAnsi="Times New Roman"/>
          <w:sz w:val="24"/>
          <w:szCs w:val="24"/>
        </w:rPr>
        <w:tab/>
        <w:t xml:space="preserve">veškerých skutečnostech, které jsou nebo mohou být důležité pro řádné plnění této smlouvy. Smluvní </w:t>
      </w:r>
      <w:r>
        <w:rPr>
          <w:rFonts w:ascii="Times New Roman" w:hAnsi="Times New Roman"/>
          <w:sz w:val="24"/>
          <w:szCs w:val="24"/>
        </w:rPr>
        <w:tab/>
        <w:t xml:space="preserve">strany se zavazují upozornit druhou smluvní stranu bez zbytečného odkladu na vzniklé </w:t>
      </w:r>
      <w:r>
        <w:rPr>
          <w:rFonts w:ascii="Times New Roman" w:hAnsi="Times New Roman"/>
          <w:sz w:val="24"/>
          <w:szCs w:val="24"/>
        </w:rPr>
        <w:tab/>
        <w:t xml:space="preserve">okolnosti </w:t>
      </w:r>
      <w:r>
        <w:rPr>
          <w:rFonts w:ascii="Times New Roman" w:hAnsi="Times New Roman"/>
          <w:sz w:val="24"/>
          <w:szCs w:val="24"/>
        </w:rPr>
        <w:tab/>
        <w:t>bránící řádnému plnění smlouvy.</w:t>
      </w:r>
    </w:p>
    <w:p w14:paraId="29D04388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Smluvní strany jsou povinny plnit své závazky vyplývající z této smlouvy tak, aby nedocházelo </w:t>
      </w:r>
      <w:r>
        <w:rPr>
          <w:rFonts w:ascii="Times New Roman" w:hAnsi="Times New Roman"/>
          <w:sz w:val="24"/>
          <w:szCs w:val="24"/>
        </w:rPr>
        <w:tab/>
        <w:t>k prodlení s plněním jednotlivých termínů a s prodlením splatnosti jednotlivých peněžních závazků.</w:t>
      </w:r>
    </w:p>
    <w:p w14:paraId="35BB92C5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Veškerá komunikace mezi smluvními stranami bude probíhat prostřednictvím oprávněných osob </w:t>
      </w:r>
      <w:r>
        <w:rPr>
          <w:rFonts w:ascii="Times New Roman" w:hAnsi="Times New Roman"/>
          <w:sz w:val="24"/>
          <w:szCs w:val="24"/>
        </w:rPr>
        <w:tab/>
        <w:t>průkaznou formou, přičemž za průkaznou formu se považuje i e-mailová komunikace. Smluvní strany jsou povinny si sdělit po uzavření smlouvy za tímto účelem e-mailové adresy, na které lze vést komunikaci ve věcech smlouvy a plnění stran.</w:t>
      </w:r>
    </w:p>
    <w:p w14:paraId="77FA6BA6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 xml:space="preserve">Smluvní strany se zavazují, že v případě změny svého sídla budou o této změně druhou smluvní </w:t>
      </w:r>
      <w:r>
        <w:rPr>
          <w:rFonts w:ascii="Times New Roman" w:hAnsi="Times New Roman"/>
          <w:sz w:val="24"/>
          <w:szCs w:val="24"/>
        </w:rPr>
        <w:tab/>
        <w:t>stranu informovat nejpozději do tří (3) pracovních dnů.</w:t>
      </w:r>
    </w:p>
    <w:p w14:paraId="5D00C892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021B8041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</w:t>
      </w:r>
    </w:p>
    <w:p w14:paraId="7413F0B6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 smlouvy</w:t>
      </w:r>
    </w:p>
    <w:p w14:paraId="3C0671AD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5E43D87B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Tato smlouva nabývá platnosti při podpisu oprávněnými zástupci obou smluvních stran.</w:t>
      </w:r>
    </w:p>
    <w:p w14:paraId="6BD4D055" w14:textId="2C4C80E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Tato smlouva se uzavírá na dobu určitou, a to od </w:t>
      </w:r>
      <w:r w:rsidR="00012E30">
        <w:rPr>
          <w:rFonts w:ascii="Times New Roman" w:hAnsi="Times New Roman"/>
          <w:sz w:val="24"/>
          <w:szCs w:val="24"/>
        </w:rPr>
        <w:t>1. 1. 202</w:t>
      </w:r>
      <w:r w:rsidR="00DA2BD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do 31. 12. 202</w:t>
      </w:r>
      <w:r w:rsidR="00DA2B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492B10" w14:textId="4707BD2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Tuto smlouvu je kterákoliv ze smluvních stran oprávněna vypovědět z důvodu opakovaného porušení </w:t>
      </w:r>
      <w:r>
        <w:rPr>
          <w:rFonts w:ascii="Times New Roman" w:hAnsi="Times New Roman"/>
          <w:sz w:val="24"/>
          <w:szCs w:val="24"/>
        </w:rPr>
        <w:tab/>
        <w:t xml:space="preserve">smluvních povinností druhou stranou, pokud na toto porušení smluvních povinností byla druhá strana </w:t>
      </w:r>
      <w:r>
        <w:rPr>
          <w:rFonts w:ascii="Times New Roman" w:hAnsi="Times New Roman"/>
          <w:sz w:val="24"/>
          <w:szCs w:val="24"/>
        </w:rPr>
        <w:tab/>
        <w:t xml:space="preserve">písemně upozorněna a nesjednala-li tato nápravu ani v dostatečně k tomu poskytnuté době v délce </w:t>
      </w:r>
      <w:r>
        <w:rPr>
          <w:rFonts w:ascii="Times New Roman" w:hAnsi="Times New Roman"/>
          <w:sz w:val="24"/>
          <w:szCs w:val="24"/>
        </w:rPr>
        <w:lastRenderedPageBreak/>
        <w:tab/>
        <w:t xml:space="preserve">nejméně 7 (sedmi) dnů. </w:t>
      </w:r>
      <w:r w:rsidR="00DA2BD5">
        <w:rPr>
          <w:rFonts w:ascii="Times New Roman" w:hAnsi="Times New Roman"/>
          <w:sz w:val="24"/>
          <w:szCs w:val="24"/>
        </w:rPr>
        <w:t>Výpovědní doba</w:t>
      </w:r>
      <w:r>
        <w:rPr>
          <w:rFonts w:ascii="Times New Roman" w:hAnsi="Times New Roman"/>
          <w:sz w:val="24"/>
          <w:szCs w:val="24"/>
        </w:rPr>
        <w:t xml:space="preserve"> v tomto případě činí dva měsíce a začíná běžet po obdržení písemné výpovědi od prvého dne měsíce, následujícího po měsíci, ve kterém byla výpověď doručena.</w:t>
      </w:r>
    </w:p>
    <w:p w14:paraId="3805EB17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 xml:space="preserve">Objednatel je navíc oprávněn odstoupit od smlouvy v případě, že zhotovitel je opakovaně v prodlení </w:t>
      </w:r>
      <w:r>
        <w:rPr>
          <w:rFonts w:ascii="Times New Roman" w:hAnsi="Times New Roman"/>
          <w:sz w:val="24"/>
          <w:szCs w:val="24"/>
        </w:rPr>
        <w:tab/>
        <w:t xml:space="preserve">s plněním svých závazků a přes písemné upozornění objednatele nezjednal nápravu ani v dodatečně </w:t>
      </w:r>
      <w:r>
        <w:rPr>
          <w:rFonts w:ascii="Times New Roman" w:hAnsi="Times New Roman"/>
          <w:sz w:val="24"/>
          <w:szCs w:val="24"/>
        </w:rPr>
        <w:tab/>
        <w:t>k tomu poskytnuté době, která nesmí být kratší než 14 (čtrnáct) dnů.</w:t>
      </w:r>
    </w:p>
    <w:p w14:paraId="5618A8DF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0B1352D9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XI</w:t>
      </w:r>
    </w:p>
    <w:p w14:paraId="7F5E0E84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Řešení sporů</w:t>
      </w:r>
    </w:p>
    <w:p w14:paraId="565FED4A" w14:textId="77777777" w:rsidR="00E208A9" w:rsidRDefault="00E208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1F1C28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Smluvní strany se zavazují vyvinout maximální úsilí k odstranění vzájemných sporů vzniklých </w:t>
      </w:r>
      <w:r>
        <w:rPr>
          <w:rFonts w:ascii="Times New Roman" w:hAnsi="Times New Roman"/>
          <w:sz w:val="24"/>
          <w:szCs w:val="24"/>
        </w:rPr>
        <w:tab/>
        <w:t xml:space="preserve">v souvislosti s touto smlouvou a k jejich vyřešení zejména prostřednictvím jednání pověřených </w:t>
      </w:r>
      <w:r>
        <w:rPr>
          <w:rFonts w:ascii="Times New Roman" w:hAnsi="Times New Roman"/>
          <w:sz w:val="24"/>
          <w:szCs w:val="24"/>
        </w:rPr>
        <w:tab/>
        <w:t xml:space="preserve">zástupců. Nedohodnou-li se smluvní strany na způsobu řešení vzájemného sporu, má každá ze </w:t>
      </w:r>
      <w:r>
        <w:rPr>
          <w:rFonts w:ascii="Times New Roman" w:hAnsi="Times New Roman"/>
          <w:sz w:val="24"/>
          <w:szCs w:val="24"/>
        </w:rPr>
        <w:tab/>
        <w:t>smluvních stran právo řešit spor prostřednictvím věcně příslušného soudu s místní příslušností dle sídla objednatele.</w:t>
      </w:r>
    </w:p>
    <w:p w14:paraId="7987F010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6F11853A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XII</w:t>
      </w:r>
    </w:p>
    <w:p w14:paraId="0E31062C" w14:textId="77777777" w:rsidR="00E208A9" w:rsidRDefault="00C53F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09C68275" w14:textId="77777777" w:rsidR="00E208A9" w:rsidRDefault="00E208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876606" w14:textId="44E60138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Tato smlouva, jakož i práva a povinnosti vzniklé na základě této smlouvy nebo v souvislosti s ní, se </w:t>
      </w:r>
      <w:r>
        <w:rPr>
          <w:rFonts w:ascii="Times New Roman" w:hAnsi="Times New Roman"/>
          <w:sz w:val="24"/>
          <w:szCs w:val="24"/>
        </w:rPr>
        <w:tab/>
        <w:t>řídí zákonem č. 89/2012 Sb. Občanský zákoník, ve znění pozdějších předpisů. Smlouva byla sepsána v</w:t>
      </w:r>
      <w:r w:rsidR="008E388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souladu</w:t>
      </w:r>
      <w:r w:rsidR="008E3885">
        <w:rPr>
          <w:rFonts w:ascii="Times New Roman" w:hAnsi="Times New Roman"/>
          <w:sz w:val="24"/>
          <w:szCs w:val="24"/>
        </w:rPr>
        <w:t xml:space="preserve"> s usnesením </w:t>
      </w:r>
      <w:r w:rsidR="008E3885" w:rsidRPr="008E3885">
        <w:rPr>
          <w:rFonts w:ascii="Times New Roman" w:hAnsi="Times New Roman"/>
          <w:sz w:val="24"/>
          <w:szCs w:val="24"/>
        </w:rPr>
        <w:t>Rady města č. 0</w:t>
      </w:r>
      <w:r w:rsidR="00E04A2C">
        <w:rPr>
          <w:rFonts w:ascii="Times New Roman" w:hAnsi="Times New Roman"/>
          <w:sz w:val="24"/>
          <w:szCs w:val="24"/>
        </w:rPr>
        <w:t>540</w:t>
      </w:r>
      <w:r w:rsidR="008E3885" w:rsidRPr="008E3885">
        <w:rPr>
          <w:rFonts w:ascii="Times New Roman" w:hAnsi="Times New Roman"/>
          <w:sz w:val="24"/>
          <w:szCs w:val="24"/>
        </w:rPr>
        <w:t>/2</w:t>
      </w:r>
      <w:r w:rsidR="00AC7DF6">
        <w:rPr>
          <w:rFonts w:ascii="Times New Roman" w:hAnsi="Times New Roman"/>
          <w:sz w:val="24"/>
          <w:szCs w:val="24"/>
        </w:rPr>
        <w:t>5</w:t>
      </w:r>
      <w:r w:rsidR="008E3885" w:rsidRPr="008E3885">
        <w:rPr>
          <w:rFonts w:ascii="Times New Roman" w:hAnsi="Times New Roman"/>
          <w:sz w:val="24"/>
          <w:szCs w:val="24"/>
        </w:rPr>
        <w:t xml:space="preserve"> ze dne </w:t>
      </w:r>
      <w:r w:rsidR="00E04A2C">
        <w:rPr>
          <w:rFonts w:ascii="Times New Roman" w:hAnsi="Times New Roman"/>
          <w:sz w:val="24"/>
          <w:szCs w:val="24"/>
        </w:rPr>
        <w:t>26</w:t>
      </w:r>
      <w:r w:rsidR="008E3885" w:rsidRPr="008E3885">
        <w:rPr>
          <w:rFonts w:ascii="Times New Roman" w:hAnsi="Times New Roman"/>
          <w:sz w:val="24"/>
          <w:szCs w:val="24"/>
        </w:rPr>
        <w:t xml:space="preserve">. </w:t>
      </w:r>
      <w:r w:rsidR="00E04A2C">
        <w:rPr>
          <w:rFonts w:ascii="Times New Roman" w:hAnsi="Times New Roman"/>
          <w:sz w:val="24"/>
          <w:szCs w:val="24"/>
        </w:rPr>
        <w:t>6.</w:t>
      </w:r>
      <w:r w:rsidR="008E3885" w:rsidRPr="008E3885">
        <w:rPr>
          <w:rFonts w:ascii="Times New Roman" w:hAnsi="Times New Roman"/>
          <w:sz w:val="24"/>
          <w:szCs w:val="24"/>
        </w:rPr>
        <w:t xml:space="preserve"> 202</w:t>
      </w:r>
      <w:r w:rsidR="00DA2BD5">
        <w:rPr>
          <w:rFonts w:ascii="Times New Roman" w:hAnsi="Times New Roman"/>
          <w:sz w:val="24"/>
          <w:szCs w:val="24"/>
        </w:rPr>
        <w:t>5</w:t>
      </w:r>
      <w:r w:rsidR="008E3885" w:rsidRPr="008E3885">
        <w:rPr>
          <w:rFonts w:ascii="Times New Roman" w:hAnsi="Times New Roman"/>
          <w:sz w:val="24"/>
          <w:szCs w:val="24"/>
        </w:rPr>
        <w:t xml:space="preserve">, kterou se schvaluje Směrnice Rady města Teplice č. </w:t>
      </w:r>
      <w:r w:rsidR="00E04A2C">
        <w:rPr>
          <w:rFonts w:ascii="Times New Roman" w:hAnsi="Times New Roman"/>
          <w:sz w:val="24"/>
          <w:szCs w:val="24"/>
        </w:rPr>
        <w:t>2</w:t>
      </w:r>
      <w:r w:rsidR="008E3885" w:rsidRPr="008E3885">
        <w:rPr>
          <w:rFonts w:ascii="Times New Roman" w:hAnsi="Times New Roman"/>
          <w:sz w:val="24"/>
          <w:szCs w:val="24"/>
        </w:rPr>
        <w:t>/202</w:t>
      </w:r>
      <w:r w:rsidR="00AC7DF6">
        <w:rPr>
          <w:rFonts w:ascii="Times New Roman" w:hAnsi="Times New Roman"/>
          <w:sz w:val="24"/>
          <w:szCs w:val="24"/>
        </w:rPr>
        <w:t>5</w:t>
      </w:r>
      <w:r w:rsidR="008E3885" w:rsidRPr="008E3885">
        <w:rPr>
          <w:rFonts w:ascii="Times New Roman" w:hAnsi="Times New Roman"/>
          <w:sz w:val="24"/>
          <w:szCs w:val="24"/>
        </w:rPr>
        <w:t>, kterou se stanoví postup Statutárního města Teplice, Magistrátu města Teplice, příspěvkových organizací zřízených městem Teplice a Městské policie Teplice při zadávání veřejných zakázek</w:t>
      </w:r>
      <w:r w:rsidR="008E3885">
        <w:rPr>
          <w:rFonts w:ascii="Times New Roman" w:hAnsi="Times New Roman"/>
          <w:sz w:val="24"/>
          <w:szCs w:val="24"/>
        </w:rPr>
        <w:t>.</w:t>
      </w:r>
      <w:r w:rsidR="008E3885" w:rsidRPr="008E3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61AB67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Tato smlouva představuje úplnou dohodu smluvních stran o předmětu této smlouvy a nahrazuje </w:t>
      </w:r>
      <w:r>
        <w:rPr>
          <w:rFonts w:ascii="Times New Roman" w:hAnsi="Times New Roman"/>
          <w:sz w:val="24"/>
          <w:szCs w:val="24"/>
        </w:rPr>
        <w:tab/>
        <w:t xml:space="preserve">veškerá předešlá ujednání smluvních stran ústní i písemnou formou, která se týkala předmětu plnění </w:t>
      </w:r>
      <w:r>
        <w:rPr>
          <w:rFonts w:ascii="Times New Roman" w:hAnsi="Times New Roman"/>
          <w:sz w:val="24"/>
          <w:szCs w:val="24"/>
        </w:rPr>
        <w:tab/>
        <w:t>dle této smlouvy.</w:t>
      </w:r>
    </w:p>
    <w:p w14:paraId="45F9633D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Tuto smlouvu je možné měnit pouze písemnou dohodou smluvních stran ve formě číslovaných </w:t>
      </w:r>
      <w:r>
        <w:rPr>
          <w:rFonts w:ascii="Times New Roman" w:hAnsi="Times New Roman"/>
          <w:sz w:val="24"/>
          <w:szCs w:val="24"/>
        </w:rPr>
        <w:tab/>
        <w:t>dodatků této smlouvy, podepsaných oprávněnými zástupci obou smluvních stran.</w:t>
      </w:r>
    </w:p>
    <w:p w14:paraId="0B60E651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Nedílnou součást smlouvy tvoří tyto přílohy: Příloha č. 1- ceník, tabulky 1-2, příloha č. 2 - pasport kašen, příloha č. 3 - seznam kašen a fontán.</w:t>
      </w:r>
    </w:p>
    <w:p w14:paraId="1F706C06" w14:textId="77777777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t xml:space="preserve"> </w:t>
      </w:r>
      <w:r>
        <w:rPr>
          <w:rFonts w:ascii="Times New Roman" w:hAnsi="Times New Roman"/>
          <w:sz w:val="24"/>
          <w:szCs w:val="24"/>
        </w:rPr>
        <w:tab/>
        <w:t>Pokud se dodavatel stane nespolehlivým plátcem nebo bude vyžadovat úhradu na jiný než zveřejněný bankovní účet, nebude DPH uhrazena jemu ale přímo příslušnému správci daně.</w:t>
      </w:r>
    </w:p>
    <w:p w14:paraId="36ECD74E" w14:textId="3CECD51E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r w:rsidRPr="00E82EBD">
        <w:rPr>
          <w:rFonts w:ascii="Times New Roman" w:hAnsi="Times New Roman"/>
          <w:sz w:val="24"/>
          <w:szCs w:val="24"/>
        </w:rPr>
        <w:t xml:space="preserve">Tato smlouva je </w:t>
      </w:r>
      <w:r w:rsidR="00E82EBD" w:rsidRPr="00E82EBD">
        <w:rPr>
          <w:rFonts w:ascii="Times New Roman" w:hAnsi="Times New Roman"/>
          <w:sz w:val="24"/>
          <w:szCs w:val="24"/>
        </w:rPr>
        <w:t>opatřena elektronickými podpisy</w:t>
      </w:r>
      <w:r w:rsidRPr="00E82EBD">
        <w:rPr>
          <w:rFonts w:ascii="Times New Roman" w:hAnsi="Times New Roman"/>
          <w:sz w:val="24"/>
          <w:szCs w:val="24"/>
        </w:rPr>
        <w:t>.</w:t>
      </w:r>
    </w:p>
    <w:p w14:paraId="370C9CDC" w14:textId="15279338" w:rsidR="00E208A9" w:rsidRDefault="00C53FA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   </w:t>
      </w:r>
      <w:r w:rsidR="00E82EB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Tato smlouva je smlouvou veřejnou a zhotovitel bere na vědomí, že bude zveřejněna v souladu s obecně závažnými předpisy, přičemž smlouva nabývá účinnosti dnem jejího zveřejnění v registru smluv, jež zajišťuje Objednatel. </w:t>
      </w:r>
    </w:p>
    <w:p w14:paraId="79EA6F5F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  <w:t xml:space="preserve">Smluvní strany prohlašují, že si tuto smlouvu přečetly, že s jejím obsahem souhlasí a na důkaz toho </w:t>
      </w:r>
      <w:r>
        <w:rPr>
          <w:rFonts w:ascii="Times New Roman" w:hAnsi="Times New Roman"/>
          <w:sz w:val="24"/>
          <w:szCs w:val="24"/>
        </w:rPr>
        <w:tab/>
        <w:t>k ní připojují své podpisy:</w:t>
      </w:r>
    </w:p>
    <w:p w14:paraId="31BF8C58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1C77D720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3C84A138" w14:textId="77777777" w:rsidR="00017681" w:rsidRDefault="00017681">
      <w:pPr>
        <w:jc w:val="both"/>
        <w:rPr>
          <w:rFonts w:ascii="Times New Roman" w:hAnsi="Times New Roman"/>
          <w:sz w:val="24"/>
          <w:szCs w:val="24"/>
        </w:rPr>
      </w:pPr>
    </w:p>
    <w:p w14:paraId="4729BCD5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273E08E7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shd w:val="clear" w:color="auto" w:fill="FFFF99"/>
        </w:rPr>
        <w:tab/>
      </w:r>
      <w:r>
        <w:rPr>
          <w:rFonts w:ascii="Times New Roman" w:hAnsi="Times New Roman"/>
          <w:sz w:val="24"/>
          <w:szCs w:val="24"/>
          <w:u w:val="single"/>
          <w:shd w:val="clear" w:color="auto" w:fill="FFFF99"/>
        </w:rPr>
        <w:tab/>
      </w:r>
      <w:r>
        <w:rPr>
          <w:rFonts w:ascii="Times New Roman" w:hAnsi="Times New Roman"/>
          <w:sz w:val="24"/>
          <w:szCs w:val="24"/>
          <w:u w:val="single"/>
          <w:shd w:val="clear" w:color="auto" w:fill="FFFF99"/>
        </w:rPr>
        <w:tab/>
      </w:r>
      <w:r>
        <w:rPr>
          <w:rFonts w:ascii="Times New Roman" w:hAnsi="Times New Roman"/>
          <w:sz w:val="24"/>
          <w:szCs w:val="24"/>
          <w:u w:val="single"/>
          <w:shd w:val="clear" w:color="auto" w:fill="FFFF99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1E85160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 zhotovitele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za objednatele</w:t>
      </w:r>
    </w:p>
    <w:p w14:paraId="18867FFB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Ing. Dagmar Teuschelová</w:t>
      </w:r>
    </w:p>
    <w:p w14:paraId="7AE88B2F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vedoucí OŽP  </w:t>
      </w:r>
    </w:p>
    <w:p w14:paraId="46308375" w14:textId="77777777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E30033C" w14:textId="77777777" w:rsidR="00E208A9" w:rsidRDefault="00C53FA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příloha:</w:t>
      </w:r>
    </w:p>
    <w:p w14:paraId="22F8E592" w14:textId="77777777" w:rsidR="00E208A9" w:rsidRDefault="00C53FA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příloha č. 1 – ceník, tabulky 1-2</w:t>
      </w:r>
    </w:p>
    <w:p w14:paraId="418BE489" w14:textId="77777777" w:rsidR="00E208A9" w:rsidRDefault="00C53FA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příloha č. 2 – pasport kašen</w:t>
      </w:r>
    </w:p>
    <w:p w14:paraId="2ECB3516" w14:textId="77777777" w:rsidR="00E208A9" w:rsidRDefault="00C53FA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příloha č. 3 – seznam kašen a fontán</w:t>
      </w:r>
    </w:p>
    <w:p w14:paraId="44C05440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216CEB20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6A84F63A" w14:textId="77777777" w:rsidR="00E208A9" w:rsidRDefault="00E208A9">
      <w:pPr>
        <w:jc w:val="both"/>
        <w:rPr>
          <w:rFonts w:ascii="Times New Roman" w:hAnsi="Times New Roman"/>
          <w:sz w:val="24"/>
          <w:szCs w:val="24"/>
        </w:rPr>
      </w:pPr>
    </w:p>
    <w:p w14:paraId="7C175214" w14:textId="77777777" w:rsidR="00FD2EB6" w:rsidRDefault="00FD2EB6">
      <w:pPr>
        <w:jc w:val="both"/>
        <w:rPr>
          <w:rFonts w:ascii="Times New Roman" w:hAnsi="Times New Roman"/>
          <w:sz w:val="24"/>
          <w:szCs w:val="24"/>
        </w:rPr>
      </w:pPr>
    </w:p>
    <w:p w14:paraId="25B4C367" w14:textId="560E4D89" w:rsidR="00E208A9" w:rsidRDefault="00C53FA5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lastRenderedPageBreak/>
        <w:t xml:space="preserve">Příloha č. </w:t>
      </w:r>
      <w:r w:rsidR="00DA2BD5">
        <w:rPr>
          <w:rFonts w:cstheme="minorHAnsi"/>
          <w:b/>
          <w:sz w:val="20"/>
          <w:szCs w:val="20"/>
          <w:u w:val="single"/>
        </w:rPr>
        <w:t>1:</w:t>
      </w:r>
    </w:p>
    <w:tbl>
      <w:tblPr>
        <w:tblStyle w:val="Mkatabulky"/>
        <w:tblpPr w:leftFromText="141" w:rightFromText="141" w:horzAnchor="margin" w:tblpY="615"/>
        <w:tblW w:w="10031" w:type="dxa"/>
        <w:tblLayout w:type="fixed"/>
        <w:tblLook w:val="04A0" w:firstRow="1" w:lastRow="0" w:firstColumn="1" w:lastColumn="0" w:noHBand="0" w:noVBand="1"/>
      </w:tblPr>
      <w:tblGrid>
        <w:gridCol w:w="399"/>
        <w:gridCol w:w="519"/>
        <w:gridCol w:w="5853"/>
        <w:gridCol w:w="3260"/>
      </w:tblGrid>
      <w:tr w:rsidR="00E208A9" w14:paraId="4F6A5E4D" w14:textId="77777777">
        <w:trPr>
          <w:trHeight w:val="256"/>
        </w:trPr>
        <w:tc>
          <w:tcPr>
            <w:tcW w:w="6770" w:type="dxa"/>
            <w:gridSpan w:val="3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reeDEmboss" w:sz="6" w:space="0" w:color="000000"/>
            </w:tcBorders>
          </w:tcPr>
          <w:p w14:paraId="22B8FCE5" w14:textId="77777777" w:rsidR="00E208A9" w:rsidRDefault="00C53F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činnosti</w:t>
            </w:r>
          </w:p>
        </w:tc>
        <w:tc>
          <w:tcPr>
            <w:tcW w:w="3260" w:type="dxa"/>
            <w:tcBorders>
              <w:top w:val="single" w:sz="12" w:space="0" w:color="000000"/>
              <w:left w:val="threeDEmboss" w:sz="6" w:space="0" w:color="000000"/>
              <w:bottom w:val="thinThickSmallGap" w:sz="12" w:space="0" w:color="000000"/>
              <w:right w:val="thickThinSmallGap" w:sz="12" w:space="0" w:color="000000"/>
            </w:tcBorders>
          </w:tcPr>
          <w:p w14:paraId="2DCA92B1" w14:textId="77777777" w:rsidR="00E208A9" w:rsidRDefault="00C53F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cena bez DPH za 1 rok</w:t>
            </w:r>
          </w:p>
        </w:tc>
      </w:tr>
      <w:tr w:rsidR="00E208A9" w14:paraId="01B810A3" w14:textId="77777777">
        <w:trPr>
          <w:trHeight w:val="256"/>
        </w:trPr>
        <w:tc>
          <w:tcPr>
            <w:tcW w:w="399" w:type="dxa"/>
            <w:tcBorders>
              <w:top w:val="thinThickSmallGap" w:sz="12" w:space="0" w:color="000000"/>
              <w:left w:val="thinThickSmallGap" w:sz="12" w:space="0" w:color="000000"/>
              <w:bottom w:val="single" w:sz="12" w:space="0" w:color="000000"/>
              <w:right w:val="threeDEmboss" w:sz="6" w:space="0" w:color="000000"/>
            </w:tcBorders>
          </w:tcPr>
          <w:p w14:paraId="3EB08D2F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  <w:p w14:paraId="16251C6B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  <w:p w14:paraId="28BFEE45" w14:textId="77777777" w:rsidR="00E208A9" w:rsidRDefault="00E208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1" w:type="dxa"/>
            <w:gridSpan w:val="2"/>
            <w:tcBorders>
              <w:top w:val="thinThickSmallGap" w:sz="12" w:space="0" w:color="000000"/>
              <w:left w:val="threeDEmboss" w:sz="6" w:space="0" w:color="000000"/>
              <w:bottom w:val="single" w:sz="12" w:space="0" w:color="000000"/>
              <w:right w:val="threeDEmboss" w:sz="6" w:space="0" w:color="000000"/>
            </w:tcBorders>
          </w:tcPr>
          <w:p w14:paraId="662485C9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činnosti prováděné celoročně </w:t>
            </w:r>
            <w:r>
              <w:rPr>
                <w:rFonts w:cstheme="minorHAnsi"/>
                <w:color w:val="C00000"/>
              </w:rPr>
              <w:t>*)</w:t>
            </w:r>
            <w:r>
              <w:rPr>
                <w:rFonts w:cstheme="minorHAnsi"/>
              </w:rPr>
              <w:t xml:space="preserve"> a mimo sezónu </w:t>
            </w:r>
          </w:p>
          <w:p w14:paraId="222D5D1E" w14:textId="77777777" w:rsidR="00E208A9" w:rsidRDefault="00C53FA5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tzn. činnosti 1. – 4. uvedené v bodu A </w:t>
            </w:r>
            <w:r>
              <w:rPr>
                <w:rFonts w:cstheme="minorHAnsi"/>
                <w:color w:val="C00000"/>
                <w:sz w:val="18"/>
                <w:szCs w:val="18"/>
              </w:rPr>
              <w:t>*)</w:t>
            </w:r>
            <w:r>
              <w:rPr>
                <w:rFonts w:cstheme="minorHAnsi"/>
                <w:sz w:val="18"/>
                <w:szCs w:val="18"/>
              </w:rPr>
              <w:t xml:space="preserve">, činnosti 14. – 28. </w:t>
            </w:r>
          </w:p>
          <w:p w14:paraId="415A0D5B" w14:textId="77777777" w:rsidR="00E208A9" w:rsidRDefault="00C53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uvedené v bodu B a činnosti uvedené v bodu C </w:t>
            </w:r>
            <w:r>
              <w:rPr>
                <w:rFonts w:cstheme="minorHAnsi"/>
                <w:color w:val="C00000"/>
                <w:sz w:val="18"/>
                <w:szCs w:val="18"/>
              </w:rPr>
              <w:t>*)</w:t>
            </w:r>
            <w:r>
              <w:rPr>
                <w:rFonts w:cstheme="minorHAnsi"/>
                <w:sz w:val="18"/>
                <w:szCs w:val="18"/>
              </w:rPr>
              <w:t xml:space="preserve"> článku 1 výzvy</w:t>
            </w:r>
          </w:p>
          <w:p w14:paraId="36BF4482" w14:textId="77777777" w:rsidR="00E208A9" w:rsidRDefault="00C53FA5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nabídková cena bude stanovena jako jedna cena za tyto činnosti na všechny kašny zároveň</w:t>
            </w:r>
          </w:p>
        </w:tc>
        <w:tc>
          <w:tcPr>
            <w:tcW w:w="3260" w:type="dxa"/>
            <w:tcBorders>
              <w:top w:val="thinThickSmallGap" w:sz="12" w:space="0" w:color="000000"/>
              <w:left w:val="threeDEmboss" w:sz="6" w:space="0" w:color="000000"/>
              <w:bottom w:val="single" w:sz="12" w:space="0" w:color="000000"/>
              <w:right w:val="thickThinSmallGap" w:sz="12" w:space="0" w:color="000000"/>
            </w:tcBorders>
            <w:shd w:val="clear" w:color="auto" w:fill="FFFF99"/>
          </w:tcPr>
          <w:p w14:paraId="62B41102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  <w:p w14:paraId="30FD5524" w14:textId="77777777" w:rsidR="00E208A9" w:rsidRDefault="00C53F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...............................</w:t>
            </w:r>
          </w:p>
        </w:tc>
      </w:tr>
      <w:tr w:rsidR="00E208A9" w14:paraId="71B4F886" w14:textId="77777777">
        <w:trPr>
          <w:trHeight w:val="256"/>
        </w:trPr>
        <w:tc>
          <w:tcPr>
            <w:tcW w:w="399" w:type="dxa"/>
            <w:vMerge w:val="restart"/>
            <w:tcBorders>
              <w:top w:val="single" w:sz="12" w:space="0" w:color="000000"/>
              <w:left w:val="thinThickSmallGap" w:sz="12" w:space="0" w:color="000000"/>
              <w:bottom w:val="threeDEngrave" w:sz="6" w:space="0" w:color="000000"/>
              <w:right w:val="threeDEmboss" w:sz="6" w:space="0" w:color="000000"/>
            </w:tcBorders>
          </w:tcPr>
          <w:p w14:paraId="0D62E66E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2.    </w:t>
            </w:r>
          </w:p>
          <w:p w14:paraId="262EB9B2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  <w:p w14:paraId="6996A0D4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1" w:type="dxa"/>
            <w:gridSpan w:val="2"/>
            <w:tcBorders>
              <w:top w:val="single" w:sz="12" w:space="0" w:color="000000"/>
              <w:left w:val="threeDEmboss" w:sz="6" w:space="0" w:color="000000"/>
              <w:right w:val="threeDEmboss" w:sz="6" w:space="0" w:color="000000"/>
            </w:tcBorders>
          </w:tcPr>
          <w:p w14:paraId="52A4C393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činnosti prováděné celoročně </w:t>
            </w:r>
            <w:r>
              <w:rPr>
                <w:rFonts w:cstheme="minorHAnsi"/>
                <w:color w:val="C00000"/>
              </w:rPr>
              <w:t>*)</w:t>
            </w:r>
            <w:r>
              <w:rPr>
                <w:rFonts w:cstheme="minorHAnsi"/>
              </w:rPr>
              <w:t xml:space="preserve"> a během sezóny</w:t>
            </w:r>
          </w:p>
          <w:p w14:paraId="15EFC116" w14:textId="77777777" w:rsidR="00E208A9" w:rsidRDefault="00C53FA5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činnosti 1. – 4. uvedené v bodu A </w:t>
            </w:r>
            <w:r>
              <w:rPr>
                <w:rFonts w:cstheme="minorHAnsi"/>
                <w:color w:val="C00000"/>
                <w:sz w:val="20"/>
                <w:szCs w:val="20"/>
              </w:rPr>
              <w:t>*)</w:t>
            </w:r>
            <w:r>
              <w:rPr>
                <w:rFonts w:cstheme="minorHAnsi"/>
                <w:sz w:val="20"/>
                <w:szCs w:val="20"/>
              </w:rPr>
              <w:t xml:space="preserve">, činnosti 1. - 13. uvedené v bodu B a činnosti uvedené v bodu C </w:t>
            </w:r>
            <w:r>
              <w:rPr>
                <w:rFonts w:cstheme="minorHAnsi"/>
                <w:color w:val="C00000"/>
                <w:sz w:val="20"/>
                <w:szCs w:val="20"/>
              </w:rPr>
              <w:t>*)</w:t>
            </w:r>
            <w:r>
              <w:rPr>
                <w:rFonts w:cstheme="minorHAnsi"/>
                <w:sz w:val="20"/>
                <w:szCs w:val="20"/>
              </w:rPr>
              <w:t xml:space="preserve"> článku 1 výzvy</w:t>
            </w:r>
          </w:p>
          <w:p w14:paraId="29CF24F0" w14:textId="77777777" w:rsidR="00E208A9" w:rsidRDefault="00C53FA5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nabídková cena bude stanovena za tyto činnosti na každou kašnu zvlášť</w:t>
            </w:r>
          </w:p>
        </w:tc>
        <w:tc>
          <w:tcPr>
            <w:tcW w:w="3260" w:type="dxa"/>
            <w:tcBorders>
              <w:top w:val="single" w:sz="12" w:space="0" w:color="000000"/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0AC8CAA8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  <w:p w14:paraId="54133CBD" w14:textId="77777777" w:rsidR="00E208A9" w:rsidRDefault="00C53F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...............................</w:t>
            </w:r>
          </w:p>
          <w:p w14:paraId="010DF0DC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  <w:p w14:paraId="0EDDE55E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z toho:</w:t>
            </w:r>
          </w:p>
        </w:tc>
      </w:tr>
      <w:tr w:rsidR="00E208A9" w14:paraId="529D74FE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46AF2CEB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495B1BBF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47444933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Fontány „Beethoven“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21B9091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7B9FC84F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7D9E075E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328D8BD9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7B3AD07B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„Koně“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1A5CF7EC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7ECAB444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3BD48C04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640C3F1B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44DDDDDA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„Rozárium“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0E94D561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57AD5677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4172803A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60ADFDB8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0DEB7515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„Pampeliška“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1CF7561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56DA1C69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2FDAE4FB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7B8F2B2D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3E784DD1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na Laubeho náměstí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284E1721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62674346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0880D6AB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51B80E86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1D12118F" w14:textId="633E4778" w:rsidR="00E208A9" w:rsidRDefault="00DA2BD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</w:t>
            </w:r>
            <w:r w:rsidR="009805B3">
              <w:rPr>
                <w:rFonts w:cstheme="minorHAnsi"/>
              </w:rPr>
              <w:t xml:space="preserve"> na </w:t>
            </w:r>
            <w:r w:rsidR="00101922">
              <w:rPr>
                <w:rFonts w:cstheme="minorHAnsi"/>
              </w:rPr>
              <w:t>Benešov</w:t>
            </w:r>
            <w:r w:rsidR="009805B3">
              <w:rPr>
                <w:rFonts w:cstheme="minorHAnsi"/>
              </w:rPr>
              <w:t>ě</w:t>
            </w:r>
            <w:r w:rsidR="00101922">
              <w:rPr>
                <w:rFonts w:cstheme="minorHAnsi"/>
              </w:rPr>
              <w:t xml:space="preserve"> náměstí 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59385D7C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5FF71FEF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2E8CBD7B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684DE47C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0F4349DC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„AGC“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2375241D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6D4A88E0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269104E5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24757C57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4A2FE375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Vodotrysk v Zámeckém rybníku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2A35CEC8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4BF6EC0F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5F71D862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2D870DBB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31268884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Kašna v parku Milady Horákové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2E4FF1AB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43F63B56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5ACAEB77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35B82346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742E159C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Kolostujova kašna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26FFF211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039ED689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584F1ED1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6E5E2A30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2D8573B7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Kašna „Hlavy“ na náměstí Svobody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73B50C1E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0F70754E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7F98EE27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28F54AB3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653F8AAB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Historická kašna na náměstí Svobody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51B7B39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56CFAAED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6850EA94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03442748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68A39DC4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Kašna v ul. Lípová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67E85347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707194E2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77DD21A8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796128E2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1F6A53E0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„Ptáci“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4D206FE5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459348D2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50698322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7AD891E1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61615F78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„Hynie“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6F986CD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1286B3D7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3E5D717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21D5A4AA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1C1AD278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na náměstí Míru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4C090EB9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13D8E7A5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54ADF068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2FECB38D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26B10609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„Florida“ v Lípové ulici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70414AA1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590B3CC0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033B60D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17FDC410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7D574BA4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Kašna „Skalka“ v parku ČSA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18FDBB68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00E3307F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1F2685E4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23EB4423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13A1B10F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Fontána „Kolonáda“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3D1244B9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6D16CE6D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26C82FF6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68E4B035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2848BD4E" w14:textId="7777777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Porcelánová fontána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0993259E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216F58" w14:paraId="70F8C60A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right w:val="threeDEmboss" w:sz="6" w:space="0" w:color="000000"/>
            </w:tcBorders>
          </w:tcPr>
          <w:p w14:paraId="51D74646" w14:textId="77777777" w:rsidR="00216F58" w:rsidRDefault="00216F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right w:val="single" w:sz="8" w:space="0" w:color="000000"/>
            </w:tcBorders>
          </w:tcPr>
          <w:p w14:paraId="4AAFC259" w14:textId="011B8F7C" w:rsidR="00216F58" w:rsidRDefault="00216F58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852" w:type="dxa"/>
            <w:tcBorders>
              <w:left w:val="single" w:sz="8" w:space="0" w:color="000000"/>
              <w:right w:val="threeDEmboss" w:sz="6" w:space="0" w:color="000000"/>
            </w:tcBorders>
          </w:tcPr>
          <w:p w14:paraId="53BF9EC8" w14:textId="26FBB82A" w:rsidR="00216F58" w:rsidRDefault="00216F58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Automatický závlahový systém na náměstí Svobody</w:t>
            </w:r>
          </w:p>
        </w:tc>
        <w:tc>
          <w:tcPr>
            <w:tcW w:w="3260" w:type="dxa"/>
            <w:tcBorders>
              <w:left w:val="threeDEmboss" w:sz="6" w:space="0" w:color="000000"/>
              <w:right w:val="thickThinSmallGap" w:sz="12" w:space="0" w:color="000000"/>
            </w:tcBorders>
            <w:shd w:val="clear" w:color="auto" w:fill="FFFF99"/>
          </w:tcPr>
          <w:p w14:paraId="793B3F50" w14:textId="77777777" w:rsidR="00216F58" w:rsidRDefault="00216F58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21827B6D" w14:textId="77777777">
        <w:trPr>
          <w:trHeight w:val="256"/>
        </w:trPr>
        <w:tc>
          <w:tcPr>
            <w:tcW w:w="399" w:type="dxa"/>
            <w:vMerge/>
            <w:tcBorders>
              <w:left w:val="thinThickSmallGap" w:sz="12" w:space="0" w:color="000000"/>
              <w:bottom w:val="threeDEngrave" w:sz="6" w:space="0" w:color="000000"/>
              <w:right w:val="threeDEmboss" w:sz="6" w:space="0" w:color="000000"/>
            </w:tcBorders>
          </w:tcPr>
          <w:p w14:paraId="1EFA1600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tcBorders>
              <w:left w:val="threeDEmboss" w:sz="6" w:space="0" w:color="000000"/>
              <w:bottom w:val="single" w:sz="12" w:space="0" w:color="000000"/>
              <w:right w:val="single" w:sz="8" w:space="0" w:color="000000"/>
            </w:tcBorders>
          </w:tcPr>
          <w:p w14:paraId="7B2AAEC6" w14:textId="02981307" w:rsidR="00E208A9" w:rsidRDefault="00C53FA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</w:t>
            </w:r>
            <w:r w:rsidR="00216F58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5852" w:type="dxa"/>
            <w:tcBorders>
              <w:left w:val="single" w:sz="8" w:space="0" w:color="000000"/>
              <w:bottom w:val="single" w:sz="12" w:space="0" w:color="000000"/>
              <w:right w:val="threeDEmboss" w:sz="6" w:space="0" w:color="000000"/>
            </w:tcBorders>
          </w:tcPr>
          <w:p w14:paraId="2F7FEBA6" w14:textId="10D61DEC" w:rsidR="00E208A9" w:rsidRDefault="00216F58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</w:t>
            </w:r>
            <w:r w:rsidR="00C53FA5">
              <w:rPr>
                <w:rFonts w:cstheme="minorHAnsi"/>
              </w:rPr>
              <w:t xml:space="preserve">ystém </w:t>
            </w:r>
            <w:r>
              <w:rPr>
                <w:rFonts w:cstheme="minorHAnsi"/>
              </w:rPr>
              <w:t xml:space="preserve">vodní mlhy </w:t>
            </w:r>
            <w:r w:rsidR="00C53FA5">
              <w:rPr>
                <w:rFonts w:cstheme="minorHAnsi"/>
              </w:rPr>
              <w:t>na náměstí Svobody</w:t>
            </w:r>
          </w:p>
        </w:tc>
        <w:tc>
          <w:tcPr>
            <w:tcW w:w="3260" w:type="dxa"/>
            <w:tcBorders>
              <w:left w:val="threeDEmboss" w:sz="6" w:space="0" w:color="000000"/>
              <w:bottom w:val="single" w:sz="12" w:space="0" w:color="000000"/>
              <w:right w:val="thickThinSmallGap" w:sz="12" w:space="0" w:color="000000"/>
            </w:tcBorders>
            <w:shd w:val="clear" w:color="auto" w:fill="FFFF99"/>
          </w:tcPr>
          <w:p w14:paraId="598013BF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  <w:tr w:rsidR="00E208A9" w14:paraId="2B910B33" w14:textId="77777777">
        <w:trPr>
          <w:trHeight w:val="256"/>
        </w:trPr>
        <w:tc>
          <w:tcPr>
            <w:tcW w:w="6770" w:type="dxa"/>
            <w:gridSpan w:val="3"/>
            <w:tcBorders>
              <w:top w:val="threeDEngrave" w:sz="6" w:space="0" w:color="000000"/>
              <w:left w:val="thinThickSmallGap" w:sz="12" w:space="0" w:color="000000"/>
              <w:bottom w:val="thickThinSmallGap" w:sz="12" w:space="0" w:color="000000"/>
              <w:right w:val="threeDEmboss" w:sz="6" w:space="0" w:color="000000"/>
            </w:tcBorders>
          </w:tcPr>
          <w:p w14:paraId="25C5D3CC" w14:textId="77777777" w:rsidR="00E208A9" w:rsidRDefault="00E20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5B12BA" w14:textId="359C16E9" w:rsidR="00E208A9" w:rsidRDefault="00442E9F">
            <w:pPr>
              <w:rPr>
                <w:rFonts w:asciiTheme="minorHAnsi" w:hAnsiTheme="minorHAnsi" w:cstheme="minorHAnsi"/>
                <w:b/>
                <w:spacing w:val="40"/>
              </w:rPr>
            </w:pPr>
            <w:r>
              <w:rPr>
                <w:rFonts w:cstheme="minorHAnsi"/>
                <w:b/>
                <w:spacing w:val="40"/>
              </w:rPr>
              <w:t>CELKEM (</w:t>
            </w:r>
            <w:r w:rsidR="00C53FA5">
              <w:rPr>
                <w:rFonts w:cstheme="minorHAnsi"/>
                <w:sz w:val="20"/>
                <w:szCs w:val="20"/>
              </w:rPr>
              <w:t>položka 1 + 2)</w:t>
            </w:r>
            <w:r w:rsidR="00C53FA5">
              <w:rPr>
                <w:rFonts w:cstheme="minorHAnsi"/>
              </w:rPr>
              <w:t xml:space="preserve">   </w:t>
            </w:r>
          </w:p>
          <w:p w14:paraId="0DEA2657" w14:textId="77777777" w:rsidR="00E208A9" w:rsidRDefault="00E208A9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threeDEmboss" w:sz="6" w:space="0" w:color="000000"/>
              <w:bottom w:val="thickThinSmallGap" w:sz="12" w:space="0" w:color="000000"/>
              <w:right w:val="thickThinSmallGap" w:sz="12" w:space="0" w:color="000000"/>
            </w:tcBorders>
            <w:shd w:val="clear" w:color="auto" w:fill="FFFF99"/>
          </w:tcPr>
          <w:p w14:paraId="6ACD96FE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  <w:p w14:paraId="6C2681BC" w14:textId="77777777" w:rsidR="00E208A9" w:rsidRDefault="00C53F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...............................</w:t>
            </w:r>
          </w:p>
          <w:p w14:paraId="1C4C060E" w14:textId="77777777" w:rsidR="00E208A9" w:rsidRDefault="00E208A9">
            <w:pPr>
              <w:rPr>
                <w:rFonts w:asciiTheme="minorHAnsi" w:hAnsiTheme="minorHAnsi" w:cstheme="minorHAnsi"/>
              </w:rPr>
            </w:pPr>
          </w:p>
        </w:tc>
      </w:tr>
    </w:tbl>
    <w:p w14:paraId="76675B45" w14:textId="77777777" w:rsidR="00E208A9" w:rsidRDefault="00C53FA5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TABULKA č. 1 – ceník (cena bez DPH za 1 rok)</w:t>
      </w:r>
    </w:p>
    <w:p w14:paraId="76256BA9" w14:textId="77777777" w:rsidR="00E208A9" w:rsidRPr="00FD2EB6" w:rsidRDefault="00C53FA5">
      <w:pPr>
        <w:rPr>
          <w:rFonts w:asciiTheme="minorHAnsi" w:hAnsiTheme="minorHAnsi" w:cstheme="minorHAnsi"/>
          <w:sz w:val="20"/>
          <w:szCs w:val="20"/>
        </w:rPr>
      </w:pPr>
      <w:r w:rsidRPr="00FD2EB6">
        <w:rPr>
          <w:rFonts w:cstheme="minorHAnsi"/>
          <w:sz w:val="20"/>
          <w:szCs w:val="20"/>
        </w:rPr>
        <w:t>Pozn.: podrobný rozpis jednotlivých činností je uveden v bodu 2 výzvy</w:t>
      </w:r>
    </w:p>
    <w:p w14:paraId="14A02D81" w14:textId="4DE4578A" w:rsidR="00FD2EB6" w:rsidRPr="00FD2EB6" w:rsidRDefault="00DA2BD5" w:rsidP="00FD2EB6">
      <w:pPr>
        <w:jc w:val="both"/>
        <w:rPr>
          <w:rFonts w:asciiTheme="minorHAnsi" w:hAnsiTheme="minorHAnsi" w:cstheme="minorHAnsi"/>
          <w:sz w:val="20"/>
          <w:szCs w:val="20"/>
        </w:rPr>
      </w:pPr>
      <w:r w:rsidRPr="00FD2EB6">
        <w:rPr>
          <w:rFonts w:asciiTheme="minorHAnsi" w:hAnsiTheme="minorHAnsi" w:cstheme="minorHAnsi"/>
          <w:b/>
          <w:color w:val="C00000"/>
          <w:sz w:val="20"/>
          <w:szCs w:val="20"/>
        </w:rPr>
        <w:t>! UPOZORNĚNÍ</w:t>
      </w:r>
      <w:r w:rsidR="00FD2EB6" w:rsidRPr="00FD2EB6">
        <w:rPr>
          <w:rFonts w:asciiTheme="minorHAnsi" w:hAnsiTheme="minorHAnsi" w:cstheme="minorHAnsi"/>
          <w:b/>
          <w:color w:val="C00000"/>
          <w:sz w:val="20"/>
          <w:szCs w:val="20"/>
        </w:rPr>
        <w:t>: *)</w:t>
      </w:r>
      <w:r w:rsidR="00FD2EB6" w:rsidRPr="00FD2EB6">
        <w:rPr>
          <w:rFonts w:asciiTheme="minorHAnsi" w:hAnsiTheme="minorHAnsi" w:cstheme="minorHAnsi"/>
          <w:sz w:val="20"/>
          <w:szCs w:val="20"/>
        </w:rPr>
        <w:t xml:space="preserve"> = adekvátní finanční podíl za celoročně prováděné práce, který odpovídá počtu měsíců „mimo sezónu“ a „během sezóny“</w:t>
      </w:r>
    </w:p>
    <w:p w14:paraId="23AC47B9" w14:textId="77777777" w:rsidR="00E208A9" w:rsidRDefault="00E208A9">
      <w:pPr>
        <w:rPr>
          <w:rFonts w:asciiTheme="minorHAnsi" w:hAnsiTheme="minorHAnsi" w:cstheme="minorHAnsi"/>
          <w:sz w:val="20"/>
          <w:szCs w:val="20"/>
        </w:rPr>
      </w:pPr>
    </w:p>
    <w:p w14:paraId="23483A62" w14:textId="77777777" w:rsidR="00E208A9" w:rsidRDefault="00C53FA5" w:rsidP="00101922">
      <w:pPr>
        <w:pStyle w:val="Nzev"/>
        <w:tabs>
          <w:tab w:val="left" w:pos="360"/>
        </w:tabs>
        <w:spacing w:line="235" w:lineRule="auto"/>
        <w:rPr>
          <w:rFonts w:asciiTheme="minorHAnsi" w:hAnsiTheme="minorHAnsi" w:cstheme="minorHAnsi"/>
          <w:bCs w:val="0"/>
          <w:sz w:val="20"/>
          <w:szCs w:val="20"/>
          <w:u w:val="single"/>
        </w:rPr>
      </w:pPr>
      <w:r>
        <w:rPr>
          <w:rFonts w:asciiTheme="minorHAnsi" w:hAnsiTheme="minorHAnsi" w:cstheme="minorHAnsi"/>
          <w:bCs w:val="0"/>
          <w:sz w:val="20"/>
          <w:szCs w:val="20"/>
          <w:u w:val="single"/>
        </w:rPr>
        <w:t>TABULKA č. 2 – ROZPIS PAUŠÁLNÍCH PLATEB (cena bez DPH / 1 rok)</w:t>
      </w:r>
    </w:p>
    <w:tbl>
      <w:tblPr>
        <w:tblStyle w:val="Mkatabulky"/>
        <w:tblpPr w:leftFromText="141" w:rightFromText="141" w:vertAnchor="text" w:horzAnchor="margin" w:tblpXSpec="center" w:tblpY="64"/>
        <w:tblW w:w="10993" w:type="dxa"/>
        <w:jc w:val="center"/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355"/>
        <w:gridCol w:w="802"/>
        <w:gridCol w:w="804"/>
        <w:gridCol w:w="802"/>
        <w:gridCol w:w="804"/>
        <w:gridCol w:w="804"/>
        <w:gridCol w:w="802"/>
        <w:gridCol w:w="804"/>
        <w:gridCol w:w="803"/>
        <w:gridCol w:w="804"/>
        <w:gridCol w:w="802"/>
        <w:gridCol w:w="804"/>
        <w:gridCol w:w="803"/>
      </w:tblGrid>
      <w:tr w:rsidR="00E208A9" w14:paraId="1DAFD6A5" w14:textId="77777777">
        <w:trPr>
          <w:trHeight w:val="321"/>
          <w:jc w:val="center"/>
        </w:trPr>
        <w:tc>
          <w:tcPr>
            <w:tcW w:w="1354" w:type="dxa"/>
            <w:tcBorders>
              <w:top w:val="thinThickMediumGap" w:sz="12" w:space="0" w:color="00000A"/>
              <w:left w:val="thinThickMediumGap" w:sz="12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14:paraId="24F48198" w14:textId="77777777" w:rsidR="00E208A9" w:rsidRDefault="00C53FA5">
            <w:pPr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Fakturace prací</w:t>
            </w:r>
          </w:p>
        </w:tc>
        <w:tc>
          <w:tcPr>
            <w:tcW w:w="802" w:type="dxa"/>
            <w:tcBorders>
              <w:top w:val="thinThickMediumGap" w:sz="12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93" w:type="dxa"/>
            </w:tcMar>
          </w:tcPr>
          <w:p w14:paraId="531C5C57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leden</w:t>
            </w:r>
          </w:p>
        </w:tc>
        <w:tc>
          <w:tcPr>
            <w:tcW w:w="804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020F5152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únor</w:t>
            </w:r>
          </w:p>
        </w:tc>
        <w:tc>
          <w:tcPr>
            <w:tcW w:w="802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20AF76DB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březen</w:t>
            </w:r>
          </w:p>
        </w:tc>
        <w:tc>
          <w:tcPr>
            <w:tcW w:w="804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066F6EA8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duben</w:t>
            </w:r>
          </w:p>
        </w:tc>
        <w:tc>
          <w:tcPr>
            <w:tcW w:w="804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7BF4C4E5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květen</w:t>
            </w:r>
          </w:p>
        </w:tc>
        <w:tc>
          <w:tcPr>
            <w:tcW w:w="802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78328949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červen</w:t>
            </w:r>
          </w:p>
        </w:tc>
        <w:tc>
          <w:tcPr>
            <w:tcW w:w="804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45C9BEB7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červenec</w:t>
            </w:r>
          </w:p>
        </w:tc>
        <w:tc>
          <w:tcPr>
            <w:tcW w:w="803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67A63C6F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srpen</w:t>
            </w:r>
          </w:p>
        </w:tc>
        <w:tc>
          <w:tcPr>
            <w:tcW w:w="804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6F6952E0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září</w:t>
            </w:r>
          </w:p>
        </w:tc>
        <w:tc>
          <w:tcPr>
            <w:tcW w:w="802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369D5270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říjen</w:t>
            </w:r>
          </w:p>
        </w:tc>
        <w:tc>
          <w:tcPr>
            <w:tcW w:w="804" w:type="dxa"/>
            <w:tcBorders>
              <w:top w:val="thinThickMediumGap" w:sz="12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4C705E4A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listopad</w:t>
            </w:r>
          </w:p>
        </w:tc>
        <w:tc>
          <w:tcPr>
            <w:tcW w:w="803" w:type="dxa"/>
            <w:tcBorders>
              <w:top w:val="thinThickMediumGap" w:sz="12" w:space="0" w:color="00000A"/>
              <w:bottom w:val="double" w:sz="4" w:space="0" w:color="00000A"/>
              <w:right w:val="thickThinMediumGap" w:sz="12" w:space="0" w:color="00000A"/>
            </w:tcBorders>
            <w:shd w:val="clear" w:color="auto" w:fill="auto"/>
            <w:tcMar>
              <w:left w:w="103" w:type="dxa"/>
            </w:tcMar>
          </w:tcPr>
          <w:p w14:paraId="0DDE214A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prosinec</w:t>
            </w:r>
          </w:p>
        </w:tc>
      </w:tr>
      <w:tr w:rsidR="00E208A9" w14:paraId="13A5073F" w14:textId="77777777">
        <w:trPr>
          <w:trHeight w:val="299"/>
          <w:jc w:val="center"/>
        </w:trPr>
        <w:tc>
          <w:tcPr>
            <w:tcW w:w="1354" w:type="dxa"/>
            <w:tcBorders>
              <w:top w:val="double" w:sz="4" w:space="0" w:color="00000A"/>
              <w:left w:val="thinThickMediumGap" w:sz="12" w:space="0" w:color="00000A"/>
              <w:right w:val="double" w:sz="4" w:space="0" w:color="00000A"/>
            </w:tcBorders>
            <w:shd w:val="clear" w:color="auto" w:fill="auto"/>
          </w:tcPr>
          <w:p w14:paraId="7DCA4BB5" w14:textId="77777777" w:rsidR="00E208A9" w:rsidRDefault="00C53FA5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 xml:space="preserve">činnosti prováděné celoročně (A a C) + činnosti prováděné </w:t>
            </w:r>
          </w:p>
          <w:p w14:paraId="54C761CD" w14:textId="77777777" w:rsidR="00E208A9" w:rsidRDefault="00C53FA5">
            <w:pPr>
              <w:rPr>
                <w:rFonts w:ascii="Arial Narrow" w:hAnsi="Arial Narrow"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mimo sezónu (část B)</w:t>
            </w:r>
          </w:p>
        </w:tc>
        <w:tc>
          <w:tcPr>
            <w:tcW w:w="802" w:type="dxa"/>
            <w:tcBorders>
              <w:top w:val="double" w:sz="4" w:space="0" w:color="00000A"/>
              <w:left w:val="double" w:sz="4" w:space="0" w:color="00000A"/>
            </w:tcBorders>
            <w:shd w:val="clear" w:color="auto" w:fill="FFFF99"/>
            <w:tcMar>
              <w:left w:w="93" w:type="dxa"/>
            </w:tcMar>
          </w:tcPr>
          <w:p w14:paraId="7FFFE9D5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double" w:sz="4" w:space="0" w:color="00000A"/>
            </w:tcBorders>
            <w:shd w:val="clear" w:color="auto" w:fill="FFFF99"/>
            <w:tcMar>
              <w:left w:w="103" w:type="dxa"/>
            </w:tcMar>
          </w:tcPr>
          <w:p w14:paraId="17BA93F5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double" w:sz="4" w:space="0" w:color="00000A"/>
            </w:tcBorders>
            <w:shd w:val="clear" w:color="auto" w:fill="FFFF99"/>
            <w:tcMar>
              <w:left w:w="103" w:type="dxa"/>
            </w:tcMar>
          </w:tcPr>
          <w:p w14:paraId="6BCACFFB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double" w:sz="4" w:space="0" w:color="00000A"/>
            </w:tcBorders>
            <w:shd w:val="clear" w:color="auto" w:fill="FFFF99"/>
            <w:tcMar>
              <w:left w:w="103" w:type="dxa"/>
            </w:tcMar>
          </w:tcPr>
          <w:p w14:paraId="5E99AFF1" w14:textId="77777777" w:rsidR="00E208A9" w:rsidRDefault="00E208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FF8FC9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(½ )</w:t>
            </w:r>
          </w:p>
        </w:tc>
        <w:tc>
          <w:tcPr>
            <w:tcW w:w="804" w:type="dxa"/>
            <w:tcBorders>
              <w:top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0F3BE6B1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080DD185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2" w:type="dxa"/>
            <w:tcBorders>
              <w:top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152B9E28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455F18E8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4" w:type="dxa"/>
            <w:tcBorders>
              <w:top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6C4B54D8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2102D722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3" w:type="dxa"/>
            <w:tcBorders>
              <w:top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05040627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066CAEA2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4" w:type="dxa"/>
            <w:tcBorders>
              <w:top w:val="double" w:sz="4" w:space="0" w:color="00000A"/>
            </w:tcBorders>
            <w:shd w:val="clear" w:color="auto" w:fill="auto"/>
            <w:tcMar>
              <w:left w:w="103" w:type="dxa"/>
            </w:tcMar>
          </w:tcPr>
          <w:p w14:paraId="127433A1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0EED5280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2" w:type="dxa"/>
            <w:tcBorders>
              <w:top w:val="double" w:sz="4" w:space="0" w:color="00000A"/>
            </w:tcBorders>
            <w:shd w:val="clear" w:color="auto" w:fill="FFFF99"/>
            <w:tcMar>
              <w:left w:w="103" w:type="dxa"/>
            </w:tcMar>
          </w:tcPr>
          <w:p w14:paraId="4182B604" w14:textId="77777777" w:rsidR="00E208A9" w:rsidRDefault="00E208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8D9629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(½ )</w:t>
            </w:r>
          </w:p>
        </w:tc>
        <w:tc>
          <w:tcPr>
            <w:tcW w:w="804" w:type="dxa"/>
            <w:tcBorders>
              <w:top w:val="double" w:sz="4" w:space="0" w:color="00000A"/>
            </w:tcBorders>
            <w:shd w:val="clear" w:color="auto" w:fill="FFFF99"/>
            <w:tcMar>
              <w:left w:w="103" w:type="dxa"/>
            </w:tcMar>
          </w:tcPr>
          <w:p w14:paraId="28C69383" w14:textId="77777777" w:rsidR="00E208A9" w:rsidRDefault="00E208A9">
            <w:pPr>
              <w:jc w:val="center"/>
              <w:rPr>
                <w:rFonts w:ascii="Arial Narrow" w:hAnsi="Arial Narrow" w:cs="Browallia New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double" w:sz="4" w:space="0" w:color="00000A"/>
              <w:right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6515E2A7" w14:textId="77777777" w:rsidR="00E208A9" w:rsidRDefault="00E208A9">
            <w:pPr>
              <w:jc w:val="center"/>
              <w:rPr>
                <w:rFonts w:ascii="Arial Narrow" w:hAnsi="Arial Narrow" w:cs="Browallia New"/>
                <w:sz w:val="16"/>
                <w:szCs w:val="16"/>
              </w:rPr>
            </w:pPr>
          </w:p>
        </w:tc>
      </w:tr>
      <w:tr w:rsidR="00E208A9" w14:paraId="7859C5AE" w14:textId="77777777">
        <w:trPr>
          <w:trHeight w:val="321"/>
          <w:jc w:val="center"/>
        </w:trPr>
        <w:tc>
          <w:tcPr>
            <w:tcW w:w="1354" w:type="dxa"/>
            <w:tcBorders>
              <w:left w:val="thinThickMediumGap" w:sz="12" w:space="0" w:color="00000A"/>
              <w:bottom w:val="thickThinMediumGap" w:sz="12" w:space="0" w:color="00000A"/>
              <w:right w:val="double" w:sz="4" w:space="0" w:color="00000A"/>
            </w:tcBorders>
            <w:shd w:val="clear" w:color="auto" w:fill="auto"/>
          </w:tcPr>
          <w:p w14:paraId="3D13C8EA" w14:textId="77777777" w:rsidR="00E208A9" w:rsidRDefault="00C53FA5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 xml:space="preserve">činnosti prováděné celoročně (A a C) + činnosti prováděné </w:t>
            </w:r>
          </w:p>
          <w:p w14:paraId="3B0F885C" w14:textId="77777777" w:rsidR="00E208A9" w:rsidRDefault="00C53FA5">
            <w:pPr>
              <w:rPr>
                <w:rFonts w:ascii="Arial Narrow" w:hAnsi="Arial Narrow"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během sezóny (část B)</w:t>
            </w:r>
          </w:p>
        </w:tc>
        <w:tc>
          <w:tcPr>
            <w:tcW w:w="802" w:type="dxa"/>
            <w:tcBorders>
              <w:left w:val="double" w:sz="4" w:space="0" w:color="00000A"/>
              <w:bottom w:val="thickThinMediumGap" w:sz="12" w:space="0" w:color="00000A"/>
            </w:tcBorders>
            <w:shd w:val="clear" w:color="auto" w:fill="auto"/>
            <w:tcMar>
              <w:left w:w="93" w:type="dxa"/>
            </w:tcMar>
          </w:tcPr>
          <w:p w14:paraId="5DEEF29C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32DE2590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4" w:type="dxa"/>
            <w:tcBorders>
              <w:bottom w:val="thickThinMediumGap" w:sz="12" w:space="0" w:color="00000A"/>
            </w:tcBorders>
            <w:shd w:val="clear" w:color="auto" w:fill="auto"/>
            <w:tcMar>
              <w:left w:w="103" w:type="dxa"/>
            </w:tcMar>
          </w:tcPr>
          <w:p w14:paraId="0F53C574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1BCAB933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2" w:type="dxa"/>
            <w:tcBorders>
              <w:bottom w:val="thickThinMediumGap" w:sz="12" w:space="0" w:color="00000A"/>
            </w:tcBorders>
            <w:shd w:val="clear" w:color="auto" w:fill="auto"/>
            <w:tcMar>
              <w:left w:w="103" w:type="dxa"/>
            </w:tcMar>
          </w:tcPr>
          <w:p w14:paraId="4B2FACFF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7F0C99CF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4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21759EF9" w14:textId="77777777" w:rsidR="00E208A9" w:rsidRDefault="00E208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608B34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(½ )</w:t>
            </w:r>
          </w:p>
        </w:tc>
        <w:tc>
          <w:tcPr>
            <w:tcW w:w="804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6AC90E13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2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3E2DD3FB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4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7F2A1F5E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3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0E025B87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4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0B7DFF9F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</w:tc>
        <w:tc>
          <w:tcPr>
            <w:tcW w:w="802" w:type="dxa"/>
            <w:tcBorders>
              <w:bottom w:val="thickThinMediumGap" w:sz="12" w:space="0" w:color="00000A"/>
            </w:tcBorders>
            <w:shd w:val="clear" w:color="auto" w:fill="FFFF99"/>
            <w:tcMar>
              <w:left w:w="103" w:type="dxa"/>
            </w:tcMar>
          </w:tcPr>
          <w:p w14:paraId="7BC4255D" w14:textId="77777777" w:rsidR="00E208A9" w:rsidRDefault="00E208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DA603D" w14:textId="77777777" w:rsidR="00E208A9" w:rsidRDefault="00C53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(½ )</w:t>
            </w:r>
          </w:p>
        </w:tc>
        <w:tc>
          <w:tcPr>
            <w:tcW w:w="804" w:type="dxa"/>
            <w:tcBorders>
              <w:bottom w:val="thickThinMediumGap" w:sz="12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AAADCF4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57EB397B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  <w:tc>
          <w:tcPr>
            <w:tcW w:w="803" w:type="dxa"/>
            <w:tcBorders>
              <w:bottom w:val="thickThinMediumGap" w:sz="12" w:space="0" w:color="00000A"/>
              <w:right w:val="thickThinMediumGap" w:sz="12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6091067" w14:textId="77777777" w:rsidR="00E208A9" w:rsidRDefault="00E208A9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</w:p>
          <w:p w14:paraId="54C72EC3" w14:textId="77777777" w:rsidR="00E208A9" w:rsidRDefault="00C53FA5">
            <w:pPr>
              <w:jc w:val="center"/>
              <w:rPr>
                <w:rFonts w:ascii="Arial Narrow" w:hAnsi="Arial Narrow" w:cs="Andalus"/>
                <w:sz w:val="16"/>
                <w:szCs w:val="16"/>
              </w:rPr>
            </w:pPr>
            <w:r>
              <w:rPr>
                <w:rFonts w:ascii="Arial Narrow" w:hAnsi="Arial Narrow" w:cs="Andalus"/>
                <w:sz w:val="16"/>
                <w:szCs w:val="16"/>
              </w:rPr>
              <w:t>X</w:t>
            </w:r>
          </w:p>
        </w:tc>
      </w:tr>
    </w:tbl>
    <w:p w14:paraId="07EA4FA4" w14:textId="77777777" w:rsidR="00BA726B" w:rsidRDefault="00BA726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4941B14" w14:textId="77777777" w:rsidR="00BA726B" w:rsidRDefault="00BA726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CE82082" w14:textId="77777777" w:rsidR="00BA726B" w:rsidRDefault="00BA726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024D0805" w14:textId="60DF9871" w:rsidR="00E208A9" w:rsidRDefault="00C53F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0394EA1" w14:textId="77777777" w:rsidR="00E208A9" w:rsidRDefault="00C53FA5">
      <w:pPr>
        <w:rPr>
          <w:rFonts w:ascii="Times New Roman" w:hAnsi="Times New Roman"/>
        </w:rPr>
      </w:pPr>
      <w:r>
        <w:rPr>
          <w:rFonts w:ascii="Times New Roman" w:hAnsi="Times New Roman"/>
        </w:rPr>
        <w:t>za zhotovitele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objednatele</w:t>
      </w:r>
    </w:p>
    <w:p w14:paraId="118A53C8" w14:textId="77777777" w:rsidR="00E208A9" w:rsidRDefault="00C53FA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Ing. Dagmar Teuschelová</w:t>
      </w:r>
      <w:r w:rsidR="00FD2EB6">
        <w:rPr>
          <w:rFonts w:ascii="Times New Roman" w:hAnsi="Times New Roman"/>
        </w:rPr>
        <w:t>, vedoucí OŽP</w:t>
      </w:r>
    </w:p>
    <w:sectPr w:rsidR="00E20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C70C" w14:textId="77777777" w:rsidR="00C173A0" w:rsidRDefault="00C53FA5">
      <w:r>
        <w:separator/>
      </w:r>
    </w:p>
  </w:endnote>
  <w:endnote w:type="continuationSeparator" w:id="0">
    <w:p w14:paraId="224A606E" w14:textId="77777777" w:rsidR="00C173A0" w:rsidRDefault="00C5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91B0" w14:textId="77777777" w:rsidR="00051EFB" w:rsidRDefault="00051E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A45D" w14:textId="77777777" w:rsidR="00E208A9" w:rsidRDefault="00E208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5F97" w14:textId="77777777" w:rsidR="00051EFB" w:rsidRDefault="00051E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C93F" w14:textId="77777777" w:rsidR="00C173A0" w:rsidRDefault="00C53FA5">
      <w:r>
        <w:separator/>
      </w:r>
    </w:p>
  </w:footnote>
  <w:footnote w:type="continuationSeparator" w:id="0">
    <w:p w14:paraId="3805D301" w14:textId="77777777" w:rsidR="00C173A0" w:rsidRDefault="00C5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FF06" w14:textId="77777777" w:rsidR="00051EFB" w:rsidRDefault="00051E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FBC5" w14:textId="23FEE880" w:rsidR="00E208A9" w:rsidRDefault="00C53FA5">
    <w:pPr>
      <w:pStyle w:val="Zhlav"/>
    </w:pPr>
    <w:r>
      <w:t>PŘÍLOHA č. 4 - smlouva 202</w:t>
    </w:r>
    <w:r w:rsidR="00051EFB">
      <w:t>6</w:t>
    </w:r>
    <w:r>
      <w:t>-202</w:t>
    </w:r>
    <w:r w:rsidR="00051EFB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BFEF" w14:textId="77777777" w:rsidR="00051EFB" w:rsidRDefault="00051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0008"/>
    <w:multiLevelType w:val="multilevel"/>
    <w:tmpl w:val="C2360CDA"/>
    <w:lvl w:ilvl="0">
      <w:start w:val="1"/>
      <w:numFmt w:val="bullet"/>
      <w:lvlText w:val="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34934"/>
    <w:multiLevelType w:val="multilevel"/>
    <w:tmpl w:val="470E5208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1B722B"/>
    <w:multiLevelType w:val="multilevel"/>
    <w:tmpl w:val="736A471C"/>
    <w:lvl w:ilvl="0">
      <w:start w:val="1"/>
      <w:numFmt w:val="decimal"/>
      <w:lvlText w:val="%1."/>
      <w:lvlJc w:val="left"/>
      <w:pPr>
        <w:tabs>
          <w:tab w:val="num" w:pos="0"/>
        </w:tabs>
        <w:ind w:left="994" w:hanging="7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6" w:hanging="180"/>
      </w:pPr>
    </w:lvl>
  </w:abstractNum>
  <w:abstractNum w:abstractNumId="3" w15:restartNumberingAfterBreak="0">
    <w:nsid w:val="19B749C9"/>
    <w:multiLevelType w:val="multilevel"/>
    <w:tmpl w:val="B5FE89D6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330339FF"/>
    <w:multiLevelType w:val="multilevel"/>
    <w:tmpl w:val="613C943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3A64426F"/>
    <w:multiLevelType w:val="multilevel"/>
    <w:tmpl w:val="C630BE04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5" w:hanging="180"/>
      </w:pPr>
    </w:lvl>
  </w:abstractNum>
  <w:abstractNum w:abstractNumId="6" w15:restartNumberingAfterBreak="0">
    <w:nsid w:val="3E755148"/>
    <w:multiLevelType w:val="multilevel"/>
    <w:tmpl w:val="F3CA4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18B325C"/>
    <w:multiLevelType w:val="multilevel"/>
    <w:tmpl w:val="4AA03E62"/>
    <w:lvl w:ilvl="0">
      <w:start w:val="1"/>
      <w:numFmt w:val="decimal"/>
      <w:lvlText w:val="%1."/>
      <w:lvlJc w:val="left"/>
      <w:pPr>
        <w:tabs>
          <w:tab w:val="num" w:pos="0"/>
        </w:tabs>
        <w:ind w:left="817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7" w:hanging="180"/>
      </w:pPr>
    </w:lvl>
  </w:abstractNum>
  <w:abstractNum w:abstractNumId="8" w15:restartNumberingAfterBreak="0">
    <w:nsid w:val="48116F8D"/>
    <w:multiLevelType w:val="multilevel"/>
    <w:tmpl w:val="8586D9EC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6A219C"/>
    <w:multiLevelType w:val="multilevel"/>
    <w:tmpl w:val="15886AB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3C6F72"/>
    <w:multiLevelType w:val="multilevel"/>
    <w:tmpl w:val="786648B8"/>
    <w:lvl w:ilvl="0">
      <w:start w:val="1"/>
      <w:numFmt w:val="bullet"/>
      <w:lvlText w:val="o"/>
      <w:lvlJc w:val="left"/>
      <w:pPr>
        <w:tabs>
          <w:tab w:val="num" w:pos="0"/>
        </w:tabs>
        <w:ind w:left="862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A9"/>
    <w:rsid w:val="00012E30"/>
    <w:rsid w:val="00017681"/>
    <w:rsid w:val="00017801"/>
    <w:rsid w:val="00051EFB"/>
    <w:rsid w:val="00101922"/>
    <w:rsid w:val="001F2D53"/>
    <w:rsid w:val="00216F58"/>
    <w:rsid w:val="00442E9F"/>
    <w:rsid w:val="00543064"/>
    <w:rsid w:val="005A5088"/>
    <w:rsid w:val="0061655D"/>
    <w:rsid w:val="007E054A"/>
    <w:rsid w:val="00864996"/>
    <w:rsid w:val="008E3885"/>
    <w:rsid w:val="009805B3"/>
    <w:rsid w:val="009A6F81"/>
    <w:rsid w:val="00A616F7"/>
    <w:rsid w:val="00AC7DF6"/>
    <w:rsid w:val="00BA726B"/>
    <w:rsid w:val="00C173A0"/>
    <w:rsid w:val="00C53FA5"/>
    <w:rsid w:val="00CE1267"/>
    <w:rsid w:val="00DA2BD5"/>
    <w:rsid w:val="00E04A2C"/>
    <w:rsid w:val="00E208A9"/>
    <w:rsid w:val="00E82EBD"/>
    <w:rsid w:val="00F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F23"/>
  <w15:docId w15:val="{F8E3C508-9E3B-4C2B-A238-94464272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19A"/>
    <w:rPr>
      <w:sz w:val="22"/>
      <w:szCs w:val="22"/>
    </w:rPr>
  </w:style>
  <w:style w:type="paragraph" w:styleId="Nadpis1">
    <w:name w:val="heading 1"/>
    <w:basedOn w:val="Normln"/>
    <w:link w:val="Nadpis1Char"/>
    <w:qFormat/>
    <w:locked/>
    <w:rsid w:val="003E4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semiHidden/>
    <w:qFormat/>
    <w:locked/>
    <w:rsid w:val="00B805BB"/>
    <w:rPr>
      <w:rFonts w:ascii="Calibri" w:hAnsi="Calibri"/>
      <w:lang w:eastAsia="cs-CZ"/>
    </w:rPr>
  </w:style>
  <w:style w:type="character" w:customStyle="1" w:styleId="ZpatChar">
    <w:name w:val="Zápatí Char"/>
    <w:link w:val="Zpat"/>
    <w:uiPriority w:val="99"/>
    <w:semiHidden/>
    <w:qFormat/>
    <w:locked/>
    <w:rsid w:val="00B805BB"/>
    <w:rPr>
      <w:rFonts w:ascii="Calibri" w:hAnsi="Calibri"/>
      <w:lang w:eastAsia="cs-CZ"/>
    </w:rPr>
  </w:style>
  <w:style w:type="character" w:styleId="Odkaznakoment">
    <w:name w:val="annotation reference"/>
    <w:uiPriority w:val="99"/>
    <w:semiHidden/>
    <w:qFormat/>
    <w:rsid w:val="001B7365"/>
    <w:rPr>
      <w:rFonts w:cs="Times New Roman"/>
      <w:sz w:val="16"/>
    </w:rPr>
  </w:style>
  <w:style w:type="character" w:customStyle="1" w:styleId="TextkomenteChar">
    <w:name w:val="Text komentáře Char"/>
    <w:link w:val="Textkomente"/>
    <w:uiPriority w:val="99"/>
    <w:semiHidden/>
    <w:qFormat/>
    <w:locked/>
    <w:rsid w:val="00917339"/>
    <w:rPr>
      <w:sz w:val="20"/>
    </w:rPr>
  </w:style>
  <w:style w:type="character" w:customStyle="1" w:styleId="PedmtkomenteChar">
    <w:name w:val="Předmět komentáře Char"/>
    <w:link w:val="Pedmtkomente"/>
    <w:uiPriority w:val="99"/>
    <w:semiHidden/>
    <w:qFormat/>
    <w:locked/>
    <w:rsid w:val="00917339"/>
    <w:rPr>
      <w:b/>
      <w:sz w:val="20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D719A8"/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sid w:val="00917339"/>
  </w:style>
  <w:style w:type="character" w:customStyle="1" w:styleId="Nadpis1Char">
    <w:name w:val="Nadpis 1 Char"/>
    <w:basedOn w:val="Standardnpsmoodstavce"/>
    <w:link w:val="Nadpis1"/>
    <w:qFormat/>
    <w:rsid w:val="003E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qFormat/>
    <w:rsid w:val="00C04FB8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F4BBC"/>
    <w:pPr>
      <w:spacing w:after="120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B805B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B805BB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Ploha">
    <w:name w:val="Příloha"/>
    <w:basedOn w:val="Normln"/>
    <w:uiPriority w:val="99"/>
    <w:qFormat/>
    <w:rsid w:val="000D25F8"/>
    <w:pPr>
      <w:spacing w:line="280" w:lineRule="atLeast"/>
      <w:jc w:val="center"/>
    </w:pPr>
    <w:rPr>
      <w:rFonts w:ascii="Garamond" w:eastAsia="Times New Roman" w:hAnsi="Garamond"/>
      <w:b/>
      <w:sz w:val="36"/>
      <w:szCs w:val="20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1B7365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1B73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D719A8"/>
    <w:rPr>
      <w:rFonts w:ascii="Times New Roman" w:hAnsi="Times New Roman"/>
      <w:sz w:val="20"/>
      <w:szCs w:val="20"/>
    </w:rPr>
  </w:style>
  <w:style w:type="paragraph" w:customStyle="1" w:styleId="WW-Zkladntext2">
    <w:name w:val="WW-Základní text 2"/>
    <w:basedOn w:val="Normln"/>
    <w:qFormat/>
    <w:rsid w:val="00150200"/>
    <w:rPr>
      <w:rFonts w:ascii="Arial" w:eastAsia="Times New Roman" w:hAnsi="Arial"/>
      <w:sz w:val="1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F1688"/>
    <w:pPr>
      <w:ind w:left="720"/>
      <w:contextualSpacing/>
    </w:pPr>
  </w:style>
  <w:style w:type="paragraph" w:styleId="Nzev">
    <w:name w:val="Title"/>
    <w:basedOn w:val="Normln"/>
    <w:link w:val="NzevChar"/>
    <w:qFormat/>
    <w:locked/>
    <w:rsid w:val="00C04FB8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B9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3FA5"/>
    <w:pPr>
      <w:suppressAutoHyphens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F03A-9257-40AA-9942-780BCD4A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3488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ZAJIŠTĚNÍ ÚDRŽBY BAZÉNŮ, VODOTRYSKŮ, PÍTEK, ZÁVLAHOVÝCH SYSTÉMŮ VČETNĚ PŘÍSLUŠENSTVÍ VE SPRÁVĚ MĚSTSKÉHO OBVODU ÚSTÍ NAD LABEM - MĚSTO</vt:lpstr>
    </vt:vector>
  </TitlesOfParts>
  <Company>GORDION</Company>
  <LinksUpToDate>false</LinksUpToDate>
  <CharactersWithSpaces>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ZAJIŠTĚNÍ ÚDRŽBY BAZÉNŮ, VODOTRYSKŮ, PÍTEK, ZÁVLAHOVÝCH SYSTÉMŮ VČETNĚ PŘÍSLUŠENSTVÍ VE SPRÁVĚ MĚSTSKÉHO OBVODU ÚSTÍ NAD LABEM - MĚSTO</dc:title>
  <dc:subject/>
  <dc:creator>mplanikova</dc:creator>
  <dc:description/>
  <cp:lastModifiedBy>Jurčíková Jarmila</cp:lastModifiedBy>
  <cp:revision>32</cp:revision>
  <cp:lastPrinted>2013-11-19T10:33:00Z</cp:lastPrinted>
  <dcterms:created xsi:type="dcterms:W3CDTF">2023-05-17T07:00:00Z</dcterms:created>
  <dcterms:modified xsi:type="dcterms:W3CDTF">2025-09-10T14:49:00Z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