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C9B" w:rsidRDefault="005C3F20">
      <w:pPr>
        <w:spacing w:after="242" w:line="259" w:lineRule="auto"/>
        <w:ind w:left="264" w:firstLine="0"/>
        <w:jc w:val="left"/>
      </w:pPr>
      <w:r>
        <w:rPr>
          <w:sz w:val="39"/>
        </w:rPr>
        <w:t xml:space="preserve">VYSVĚTLENÍ ZADÁVACÍ DOKUMENTACE Č. </w:t>
      </w:r>
      <w:r w:rsidR="003C78EB">
        <w:rPr>
          <w:sz w:val="39"/>
        </w:rPr>
        <w:t>2</w:t>
      </w:r>
      <w:r>
        <w:rPr>
          <w:sz w:val="39"/>
        </w:rPr>
        <w:t xml:space="preserve"> </w:t>
      </w:r>
    </w:p>
    <w:tbl>
      <w:tblPr>
        <w:tblStyle w:val="TableGrid"/>
        <w:tblW w:w="9370" w:type="dxa"/>
        <w:tblInd w:w="-149" w:type="dxa"/>
        <w:tblCellMar>
          <w:left w:w="149" w:type="dxa"/>
          <w:right w:w="115" w:type="dxa"/>
        </w:tblCellMar>
        <w:tblLook w:val="04A0" w:firstRow="1" w:lastRow="0" w:firstColumn="1" w:lastColumn="0" w:noHBand="0" w:noVBand="1"/>
      </w:tblPr>
      <w:tblGrid>
        <w:gridCol w:w="4421"/>
        <w:gridCol w:w="4949"/>
      </w:tblGrid>
      <w:tr w:rsidR="00580C9B">
        <w:trPr>
          <w:trHeight w:val="1151"/>
        </w:trPr>
        <w:tc>
          <w:tcPr>
            <w:tcW w:w="442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t xml:space="preserve">Název veřejné zakázky: </w:t>
            </w:r>
          </w:p>
        </w:tc>
        <w:tc>
          <w:tcPr>
            <w:tcW w:w="4949"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rPr>
                <w:sz w:val="24"/>
              </w:rPr>
              <w:t>Čištění a zimní údržba komunikací ve městě Teplice na období od 1.4. 2020 do 31.3. 2024</w:t>
            </w:r>
          </w:p>
        </w:tc>
      </w:tr>
      <w:tr w:rsidR="00580C9B">
        <w:trPr>
          <w:trHeight w:val="552"/>
        </w:trPr>
        <w:tc>
          <w:tcPr>
            <w:tcW w:w="442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t>Druh zadávacího řízení:</w:t>
            </w:r>
          </w:p>
        </w:tc>
        <w:tc>
          <w:tcPr>
            <w:tcW w:w="4949"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rPr>
                <w:b w:val="0"/>
              </w:rPr>
              <w:t>Otevřené řízení</w:t>
            </w:r>
          </w:p>
        </w:tc>
      </w:tr>
      <w:tr w:rsidR="00580C9B">
        <w:trPr>
          <w:trHeight w:val="552"/>
        </w:trPr>
        <w:tc>
          <w:tcPr>
            <w:tcW w:w="442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t>Předmět veřejné zakázky:</w:t>
            </w:r>
          </w:p>
        </w:tc>
        <w:tc>
          <w:tcPr>
            <w:tcW w:w="4949"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rPr>
                <w:b w:val="0"/>
              </w:rPr>
              <w:t>Služby</w:t>
            </w:r>
          </w:p>
        </w:tc>
      </w:tr>
      <w:tr w:rsidR="00580C9B">
        <w:trPr>
          <w:trHeight w:val="552"/>
        </w:trPr>
        <w:tc>
          <w:tcPr>
            <w:tcW w:w="442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t>Režim veřejné zakázky:</w:t>
            </w:r>
          </w:p>
        </w:tc>
        <w:tc>
          <w:tcPr>
            <w:tcW w:w="4949"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rPr>
                <w:b w:val="0"/>
              </w:rPr>
              <w:t>Nadlimitní</w:t>
            </w:r>
          </w:p>
        </w:tc>
      </w:tr>
      <w:tr w:rsidR="00580C9B">
        <w:trPr>
          <w:trHeight w:val="552"/>
        </w:trPr>
        <w:tc>
          <w:tcPr>
            <w:tcW w:w="442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t>Zadavatel:</w:t>
            </w:r>
          </w:p>
        </w:tc>
        <w:tc>
          <w:tcPr>
            <w:tcW w:w="4949"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rPr>
                <w:b w:val="0"/>
              </w:rPr>
              <w:t>Statutární město Teplice</w:t>
            </w:r>
          </w:p>
        </w:tc>
      </w:tr>
      <w:tr w:rsidR="00580C9B">
        <w:trPr>
          <w:trHeight w:val="552"/>
        </w:trPr>
        <w:tc>
          <w:tcPr>
            <w:tcW w:w="442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t>Sídlo zadavatele:</w:t>
            </w:r>
          </w:p>
        </w:tc>
        <w:tc>
          <w:tcPr>
            <w:tcW w:w="4949"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rPr>
                <w:b w:val="0"/>
              </w:rPr>
              <w:t>nám. Svobody 2, 415 95 Teplice</w:t>
            </w:r>
          </w:p>
        </w:tc>
      </w:tr>
      <w:tr w:rsidR="00580C9B">
        <w:trPr>
          <w:trHeight w:val="552"/>
        </w:trPr>
        <w:tc>
          <w:tcPr>
            <w:tcW w:w="442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t>IČO:</w:t>
            </w:r>
          </w:p>
        </w:tc>
        <w:tc>
          <w:tcPr>
            <w:tcW w:w="4949"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rPr>
                <w:b w:val="0"/>
              </w:rPr>
              <w:t>00266621</w:t>
            </w:r>
          </w:p>
        </w:tc>
      </w:tr>
      <w:tr w:rsidR="00580C9B">
        <w:trPr>
          <w:trHeight w:val="556"/>
        </w:trPr>
        <w:tc>
          <w:tcPr>
            <w:tcW w:w="442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t>Osoba oprávněná jednat za zadavatele:</w:t>
            </w:r>
          </w:p>
        </w:tc>
        <w:tc>
          <w:tcPr>
            <w:tcW w:w="4949"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580C9B" w:rsidRDefault="005C3F20">
            <w:pPr>
              <w:spacing w:after="0" w:line="259" w:lineRule="auto"/>
              <w:ind w:left="0" w:firstLine="0"/>
              <w:jc w:val="left"/>
            </w:pPr>
            <w:r>
              <w:rPr>
                <w:b w:val="0"/>
              </w:rPr>
              <w:t>Mgr. Lucie Moravčíková</w:t>
            </w:r>
          </w:p>
        </w:tc>
      </w:tr>
    </w:tbl>
    <w:p w:rsidR="00580C9B" w:rsidRDefault="005C3F20" w:rsidP="003C78EB">
      <w:pPr>
        <w:spacing w:after="0" w:line="240" w:lineRule="auto"/>
        <w:ind w:left="0" w:firstLine="0"/>
        <w:jc w:val="right"/>
      </w:pPr>
      <w:r>
        <w:rPr>
          <w:b w:val="0"/>
        </w:rPr>
        <w:t xml:space="preserve">V Praze </w:t>
      </w:r>
    </w:p>
    <w:p w:rsidR="003C78EB" w:rsidRDefault="003C78EB" w:rsidP="003C78EB">
      <w:pPr>
        <w:spacing w:after="0" w:line="240" w:lineRule="auto"/>
        <w:ind w:left="-6" w:hanging="11"/>
        <w:rPr>
          <w:b w:val="0"/>
        </w:rPr>
      </w:pPr>
    </w:p>
    <w:p w:rsidR="003C78EB" w:rsidRDefault="003C78EB" w:rsidP="003C78EB">
      <w:pPr>
        <w:spacing w:after="0" w:line="240" w:lineRule="auto"/>
        <w:ind w:left="-6" w:hanging="11"/>
        <w:rPr>
          <w:b w:val="0"/>
        </w:rPr>
      </w:pPr>
    </w:p>
    <w:p w:rsidR="00580C9B" w:rsidRDefault="005C3F20" w:rsidP="003C78EB">
      <w:pPr>
        <w:spacing w:after="0" w:line="240" w:lineRule="auto"/>
        <w:ind w:left="-6" w:hanging="11"/>
        <w:rPr>
          <w:b w:val="0"/>
        </w:rPr>
      </w:pPr>
      <w:r>
        <w:rPr>
          <w:b w:val="0"/>
        </w:rPr>
        <w:t>Výše uvedený zadavatel Vám v souladu s ustanovením § 98, resp. § 54 odst. 5 zákona č. 134/2016 Sb., o zadávání veřejných zakázek, ve znění pozdějších předpisů, (dále jen „zákon“), sděluje následující vysvětlení zadávací dokumentace vztahující se k výše uvedené veřejné zakázce.</w:t>
      </w:r>
    </w:p>
    <w:p w:rsidR="00C6080F" w:rsidRDefault="00C6080F" w:rsidP="00C6080F">
      <w:pPr>
        <w:spacing w:after="0" w:line="252" w:lineRule="auto"/>
        <w:ind w:left="-6" w:hanging="11"/>
      </w:pPr>
    </w:p>
    <w:p w:rsidR="00580C9B" w:rsidRDefault="005C3F20" w:rsidP="003C78EB">
      <w:pPr>
        <w:spacing w:after="0" w:line="252" w:lineRule="auto"/>
        <w:ind w:left="0" w:firstLine="0"/>
      </w:pPr>
      <w:r>
        <w:t>Dotaz č. 1</w:t>
      </w:r>
    </w:p>
    <w:p w:rsidR="00580C9B" w:rsidRPr="00C6080F" w:rsidRDefault="005C3F20">
      <w:pPr>
        <w:ind w:left="715"/>
        <w:rPr>
          <w:b w:val="0"/>
          <w:bCs/>
        </w:rPr>
      </w:pPr>
      <w:r>
        <w:rPr>
          <w:rFonts w:ascii="Segoe UI Symbol" w:eastAsia="Segoe UI Symbol" w:hAnsi="Segoe UI Symbol" w:cs="Segoe UI Symbol"/>
        </w:rPr>
        <w:t xml:space="preserve">· </w:t>
      </w:r>
      <w:r w:rsidR="00C6080F">
        <w:rPr>
          <w:rFonts w:ascii="Segoe UI Symbol" w:eastAsia="Segoe UI Symbol" w:hAnsi="Segoe UI Symbol" w:cs="Segoe UI Symbol"/>
        </w:rPr>
        <w:tab/>
      </w:r>
      <w:r w:rsidRPr="00C6080F">
        <w:rPr>
          <w:b w:val="0"/>
          <w:bCs/>
        </w:rPr>
        <w:t>Zadavatel v bodu 3.4. zadávací dokumentace požaduje zajištění plnění veřejné zakázky mimo jiné jednou skládkou, kde minimální celková kapacita zařízení pro zneškodnění odpadů z veřejné zakázky musí činit 10.000 tun. Lze tedy mít za to, že sám zadavatel počítá se vznikem odpadu z plnění veřejné zakázky za celou dobu jejího plnění minimálně v množství 10.000 tun. Zadavatel tímto požadavkem tedy předpokládá, že za účelem plnění veřejné zakázky bude nutné minimálně 10 tis. tun odpadu odstranit formou jeho uložení na skládku.</w:t>
      </w:r>
    </w:p>
    <w:p w:rsidR="00580C9B" w:rsidRPr="00C6080F" w:rsidRDefault="005C3F20">
      <w:pPr>
        <w:ind w:left="715"/>
        <w:rPr>
          <w:b w:val="0"/>
          <w:bCs/>
        </w:rPr>
      </w:pPr>
      <w:r w:rsidRPr="00C6080F">
        <w:rPr>
          <w:rFonts w:ascii="Segoe UI Symbol" w:eastAsia="Segoe UI Symbol" w:hAnsi="Segoe UI Symbol" w:cs="Segoe UI Symbol"/>
          <w:b w:val="0"/>
          <w:bCs/>
        </w:rPr>
        <w:t xml:space="preserve">· </w:t>
      </w:r>
      <w:r w:rsidR="00C6080F" w:rsidRPr="00C6080F">
        <w:rPr>
          <w:rFonts w:ascii="Segoe UI Symbol" w:eastAsia="Segoe UI Symbol" w:hAnsi="Segoe UI Symbol" w:cs="Segoe UI Symbol"/>
          <w:b w:val="0"/>
          <w:bCs/>
        </w:rPr>
        <w:tab/>
      </w:r>
      <w:r w:rsidRPr="00C6080F">
        <w:rPr>
          <w:b w:val="0"/>
          <w:bCs/>
        </w:rPr>
        <w:t>Za uložení odpadu na skládku je podle nyní platné právní úpravy, jakož i podle připravované právní úpravy bude, nutné platit poplatek za uložení odpadu na skládku. V současné době je v legislativním procesu přijetí nového zákona o odpadech s jednoznačným a prokazatelným předpokladem významného navýšení poplatku za uložení odpadu na skládku. Záměrem Ministerstva životního prostředí je zvýšit poplatek za uložení odpadu na skládku a tím snížit objem odpadu na skládku ukládaného. Pokud v průběhu plnění veřejné zakázky dojde ke zvýšení poplatku za uložení odpadu na skládku, zvýší se tím i náklady dodavatele na plnění veřejné zakázky. Předpoklad zvýšení je minimální ze stávající výše 500,- Kč na 800,- Kč až 1 200,- Kč za jednu tunu odpadu ve vztahu k druhu odpadu, který bude vznikat při plnění veřejné zakázky.</w:t>
      </w:r>
    </w:p>
    <w:p w:rsidR="00580C9B" w:rsidRPr="00C6080F" w:rsidRDefault="005C3F20">
      <w:pPr>
        <w:ind w:left="715"/>
        <w:rPr>
          <w:b w:val="0"/>
          <w:bCs/>
        </w:rPr>
      </w:pPr>
      <w:r w:rsidRPr="00C6080F">
        <w:rPr>
          <w:rFonts w:ascii="Segoe UI Symbol" w:eastAsia="Segoe UI Symbol" w:hAnsi="Segoe UI Symbol" w:cs="Segoe UI Symbol"/>
          <w:b w:val="0"/>
          <w:bCs/>
        </w:rPr>
        <w:t xml:space="preserve">· </w:t>
      </w:r>
      <w:r w:rsidR="00C6080F" w:rsidRPr="00C6080F">
        <w:rPr>
          <w:rFonts w:ascii="Segoe UI Symbol" w:eastAsia="Segoe UI Symbol" w:hAnsi="Segoe UI Symbol" w:cs="Segoe UI Symbol"/>
          <w:b w:val="0"/>
          <w:bCs/>
        </w:rPr>
        <w:tab/>
      </w:r>
      <w:r w:rsidRPr="00C6080F">
        <w:rPr>
          <w:b w:val="0"/>
          <w:bCs/>
        </w:rPr>
        <w:t xml:space="preserve">Zadavatel v bodu 5.2. zadávací dokumentace uvádí: Celková nabídková cena bude stanovena jako cena nejvýše přípustná včetně všech poplatků a veškerých dalších nákladů spojených s plněním veřejné zakázky. Změna nabídkové ceny je možná pouze v případě, že v průběhu realizace zakázky dojde k zákonné změně sazby DPH. Z formulace tohoto bodu by se mohlo jevit, že nabídková cena musí obsahovat i výše v předcházejícím bodu zmíněný poplatek za uložení odpadu na skládku a že v případě změny zákonné sazby poplatku za uložení odpadu na skládku, kterou uchazeč či dodavatel </w:t>
      </w:r>
      <w:r w:rsidR="003C78EB" w:rsidRPr="00C6080F">
        <w:rPr>
          <w:b w:val="0"/>
          <w:bCs/>
        </w:rPr>
        <w:t>nemohou,</w:t>
      </w:r>
      <w:r w:rsidRPr="00C6080F">
        <w:rPr>
          <w:b w:val="0"/>
          <w:bCs/>
        </w:rPr>
        <w:t xml:space="preserve"> jakkoliv ovlivnit, není možné, aby došlo ke </w:t>
      </w:r>
      <w:r w:rsidRPr="00C6080F">
        <w:rPr>
          <w:b w:val="0"/>
          <w:bCs/>
        </w:rPr>
        <w:lastRenderedPageBreak/>
        <w:t>změně nabídkové ceny. Poplatek je zákonnou platbou, kterou musí dodavatel uhradit ve výši určené na základě zákona.</w:t>
      </w:r>
    </w:p>
    <w:p w:rsidR="00580C9B" w:rsidRPr="00C6080F" w:rsidRDefault="005C3F20">
      <w:pPr>
        <w:ind w:left="715"/>
        <w:rPr>
          <w:b w:val="0"/>
          <w:bCs/>
        </w:rPr>
      </w:pPr>
      <w:r w:rsidRPr="00C6080F">
        <w:rPr>
          <w:rFonts w:ascii="Segoe UI Symbol" w:eastAsia="Segoe UI Symbol" w:hAnsi="Segoe UI Symbol" w:cs="Segoe UI Symbol"/>
          <w:b w:val="0"/>
          <w:bCs/>
        </w:rPr>
        <w:t xml:space="preserve">· </w:t>
      </w:r>
      <w:r w:rsidR="00C6080F" w:rsidRPr="00C6080F">
        <w:rPr>
          <w:rFonts w:ascii="Segoe UI Symbol" w:eastAsia="Segoe UI Symbol" w:hAnsi="Segoe UI Symbol" w:cs="Segoe UI Symbol"/>
          <w:b w:val="0"/>
          <w:bCs/>
        </w:rPr>
        <w:tab/>
      </w:r>
      <w:r w:rsidRPr="00C6080F">
        <w:rPr>
          <w:b w:val="0"/>
          <w:bCs/>
        </w:rPr>
        <w:t xml:space="preserve">Zadavatel též v bodu 5.4. zadávací dokumentace uvádí: Zadavatel upozorňuje, že nabídková cena nesmí překročit předpokládanou hodnotu plnění veřejné zakázky stanovenou v této zadávací dokumentaci. V případě vyšší nabídkové ceny bude nabídka vyřazena pro rozpor se zadávacími podmínkami. </w:t>
      </w:r>
    </w:p>
    <w:p w:rsidR="00580C9B" w:rsidRPr="00C6080F" w:rsidRDefault="005C3F20">
      <w:pPr>
        <w:ind w:left="715"/>
        <w:rPr>
          <w:b w:val="0"/>
          <w:bCs/>
        </w:rPr>
      </w:pPr>
      <w:r w:rsidRPr="00C6080F">
        <w:rPr>
          <w:rFonts w:ascii="Segoe UI Symbol" w:eastAsia="Segoe UI Symbol" w:hAnsi="Segoe UI Symbol" w:cs="Segoe UI Symbol"/>
          <w:b w:val="0"/>
          <w:bCs/>
        </w:rPr>
        <w:t xml:space="preserve">· </w:t>
      </w:r>
      <w:r w:rsidR="00C6080F" w:rsidRPr="00C6080F">
        <w:rPr>
          <w:rFonts w:ascii="Segoe UI Symbol" w:eastAsia="Segoe UI Symbol" w:hAnsi="Segoe UI Symbol" w:cs="Segoe UI Symbol"/>
          <w:b w:val="0"/>
          <w:bCs/>
        </w:rPr>
        <w:tab/>
      </w:r>
      <w:r w:rsidRPr="00C6080F">
        <w:rPr>
          <w:b w:val="0"/>
          <w:bCs/>
        </w:rPr>
        <w:t xml:space="preserve">Za situace popsané v bodu 3. musí tudíž dodavatel a uchazeč počítat s rizikem zvýšení poplatku za uložení odpadu na skládky a toto riziko (dle aktuálně známých sazeb zvýšení tohoto poplatku) kalkulovat do celkové nabídkové ceny plnění veřejné zakázky, jelikož podle textu bodu 5.2. zadávací dokumentace ke zvýšení ceny v důsledku zvýšení poplatku za uložení odpadu na skládku zřejmě nemůže dojít. Pokud ovšem bude dodavatel kalkulovat toto riziko, pak vzhledem k celkové době plnění veřejné zakázky na čtyři roky a při současných dalších nákladech, které by měl dodavatel nést s plněním veřejné zakázky (například na mzdy, techniku pro plnění veřejné zakázky a další), a při postupu s péčí řádného hospodáře, nemůže dodavatel dodržet limit celkové předpokládané ceny ve výši 84 mil. Kč bez DPH, která nemá být dle dobu 5.4. zadávací dokumentace překročena. Pro ilustraci lze totiž uvést, že při zvýšení poplatku za uložení odpadu na skládku o pouhých 400,- Kč, by při celkovém objemu odpadu 10 tis. tun zvýšení ceny/nákladů představovalo částku </w:t>
      </w:r>
      <w:proofErr w:type="gramStart"/>
      <w:r w:rsidRPr="00C6080F">
        <w:rPr>
          <w:b w:val="0"/>
          <w:bCs/>
        </w:rPr>
        <w:t>4.000.000,-</w:t>
      </w:r>
      <w:proofErr w:type="gramEnd"/>
      <w:r w:rsidRPr="00C6080F">
        <w:rPr>
          <w:b w:val="0"/>
          <w:bCs/>
        </w:rPr>
        <w:t xml:space="preserve"> Kč bez DPH.</w:t>
      </w:r>
    </w:p>
    <w:p w:rsidR="00580C9B" w:rsidRPr="00C6080F" w:rsidRDefault="005C3F20">
      <w:pPr>
        <w:ind w:left="715"/>
        <w:rPr>
          <w:b w:val="0"/>
          <w:bCs/>
        </w:rPr>
      </w:pPr>
      <w:r w:rsidRPr="00C6080F">
        <w:rPr>
          <w:rFonts w:ascii="Segoe UI Symbol" w:eastAsia="Segoe UI Symbol" w:hAnsi="Segoe UI Symbol" w:cs="Segoe UI Symbol"/>
          <w:b w:val="0"/>
          <w:bCs/>
        </w:rPr>
        <w:t xml:space="preserve">· </w:t>
      </w:r>
      <w:r w:rsidR="00C6080F" w:rsidRPr="00C6080F">
        <w:rPr>
          <w:rFonts w:ascii="Segoe UI Symbol" w:eastAsia="Segoe UI Symbol" w:hAnsi="Segoe UI Symbol" w:cs="Segoe UI Symbol"/>
          <w:b w:val="0"/>
          <w:bCs/>
        </w:rPr>
        <w:tab/>
      </w:r>
      <w:r w:rsidRPr="00C6080F">
        <w:rPr>
          <w:b w:val="0"/>
          <w:bCs/>
        </w:rPr>
        <w:t>Dodavatel má za to, že shora popsaný problematický aspekt formulace zadávací dokumentace je možné řešit buď a) umožněním zvýšení ceny v případě zvýšení poplatku za uložení odpadu na skládku nebo b) zrušením limitu uvedeného v bodu 5.4. zadávací dokumentace.</w:t>
      </w:r>
    </w:p>
    <w:p w:rsidR="00580C9B" w:rsidRPr="00C6080F" w:rsidRDefault="005C3F20">
      <w:pPr>
        <w:spacing w:after="234"/>
        <w:ind w:left="715"/>
        <w:rPr>
          <w:b w:val="0"/>
          <w:bCs/>
        </w:rPr>
      </w:pPr>
      <w:r w:rsidRPr="00C6080F">
        <w:rPr>
          <w:rFonts w:ascii="Segoe UI Symbol" w:eastAsia="Segoe UI Symbol" w:hAnsi="Segoe UI Symbol" w:cs="Segoe UI Symbol"/>
          <w:b w:val="0"/>
          <w:bCs/>
        </w:rPr>
        <w:t xml:space="preserve">· </w:t>
      </w:r>
      <w:r w:rsidR="00C6080F" w:rsidRPr="00C6080F">
        <w:rPr>
          <w:rFonts w:ascii="Segoe UI Symbol" w:eastAsia="Segoe UI Symbol" w:hAnsi="Segoe UI Symbol" w:cs="Segoe UI Symbol"/>
          <w:b w:val="0"/>
          <w:bCs/>
        </w:rPr>
        <w:tab/>
      </w:r>
      <w:r w:rsidRPr="00C6080F">
        <w:rPr>
          <w:b w:val="0"/>
          <w:bCs/>
        </w:rPr>
        <w:t>Dodavatel tímto žádá o vysvětlení bodu 5.2. zadávací dokumentace v tom směru, zda bude zadavatelem vykládán tak, že dodavatel může zvýšit cenu plnění i v případě, že dojde ke zvýšení poplatku za uložení odpadu na skládku.</w:t>
      </w:r>
    </w:p>
    <w:p w:rsidR="00580C9B" w:rsidRDefault="005C3F20" w:rsidP="003C78EB">
      <w:pPr>
        <w:spacing w:after="0" w:line="252" w:lineRule="auto"/>
        <w:ind w:left="0" w:firstLine="0"/>
      </w:pPr>
      <w:r>
        <w:t>Odpověď:</w:t>
      </w:r>
    </w:p>
    <w:p w:rsidR="003C78EB" w:rsidRPr="003C78EB" w:rsidRDefault="00C6080F" w:rsidP="003C78EB">
      <w:pPr>
        <w:numPr>
          <w:ilvl w:val="1"/>
          <w:numId w:val="1"/>
        </w:numPr>
        <w:suppressAutoHyphens/>
        <w:spacing w:after="0" w:line="276" w:lineRule="auto"/>
        <w:ind w:left="567" w:hanging="567"/>
      </w:pPr>
      <w:r>
        <w:rPr>
          <w:b w:val="0"/>
        </w:rPr>
        <w:t>Zadavatel</w:t>
      </w:r>
      <w:r w:rsidR="005C3F20">
        <w:rPr>
          <w:b w:val="0"/>
        </w:rPr>
        <w:t xml:space="preserve"> ve vztahu k výše uvedenému dotazu uvádí, že </w:t>
      </w:r>
      <w:r w:rsidR="003C78EB">
        <w:rPr>
          <w:b w:val="0"/>
        </w:rPr>
        <w:t>upravuje bod 5.2.</w:t>
      </w:r>
      <w:r w:rsidR="005C3F20">
        <w:rPr>
          <w:b w:val="0"/>
        </w:rPr>
        <w:t xml:space="preserve"> zadávací dokumentace</w:t>
      </w:r>
      <w:r w:rsidR="003C78EB">
        <w:rPr>
          <w:b w:val="0"/>
        </w:rPr>
        <w:t>, který nově zní:</w:t>
      </w:r>
    </w:p>
    <w:p w:rsidR="003C78EB" w:rsidRPr="003C78EB" w:rsidRDefault="003C78EB" w:rsidP="003C78EB">
      <w:pPr>
        <w:suppressAutoHyphens/>
        <w:spacing w:after="0" w:line="276" w:lineRule="auto"/>
        <w:ind w:left="567" w:firstLine="0"/>
        <w:rPr>
          <w:b w:val="0"/>
          <w:i/>
          <w:iCs/>
        </w:rPr>
      </w:pPr>
      <w:r>
        <w:rPr>
          <w:b w:val="0"/>
        </w:rPr>
        <w:t>„</w:t>
      </w:r>
      <w:r w:rsidRPr="003C78EB">
        <w:rPr>
          <w:b w:val="0"/>
          <w:i/>
          <w:iCs/>
        </w:rPr>
        <w:t>Celková nabídková cena bude stanovena jako cena nejvýše přípustná včetně všech poplatků a veškerých dalších nákladů spojených s plněním veřejné zakázky. Změna nabídkové ceny je možná pouze v případě, že</w:t>
      </w:r>
    </w:p>
    <w:p w:rsidR="003C78EB" w:rsidRPr="003C78EB" w:rsidRDefault="003C78EB" w:rsidP="003C78EB">
      <w:pPr>
        <w:pStyle w:val="Odstavecseseznamem"/>
        <w:numPr>
          <w:ilvl w:val="0"/>
          <w:numId w:val="5"/>
        </w:numPr>
        <w:suppressAutoHyphens/>
        <w:spacing w:after="0" w:line="276" w:lineRule="auto"/>
        <w:rPr>
          <w:b w:val="0"/>
          <w:i/>
          <w:iCs/>
        </w:rPr>
      </w:pPr>
      <w:r w:rsidRPr="003C78EB">
        <w:rPr>
          <w:b w:val="0"/>
          <w:i/>
          <w:iCs/>
        </w:rPr>
        <w:t xml:space="preserve">v průběhu realizace zakázky dojde k zákonné změně sazby DPH </w:t>
      </w:r>
    </w:p>
    <w:p w:rsidR="003C78EB" w:rsidRPr="003C78EB" w:rsidRDefault="004F2196" w:rsidP="003C78EB">
      <w:pPr>
        <w:pStyle w:val="Odstavecseseznamem"/>
        <w:numPr>
          <w:ilvl w:val="0"/>
          <w:numId w:val="5"/>
        </w:numPr>
        <w:suppressAutoHyphens/>
        <w:spacing w:after="0" w:line="276" w:lineRule="auto"/>
        <w:rPr>
          <w:b w:val="0"/>
        </w:rPr>
      </w:pPr>
      <w:r>
        <w:rPr>
          <w:b w:val="0"/>
          <w:i/>
          <w:iCs/>
        </w:rPr>
        <w:t xml:space="preserve">v </w:t>
      </w:r>
      <w:r w:rsidR="003C78EB" w:rsidRPr="003C78EB">
        <w:rPr>
          <w:b w:val="0"/>
          <w:i/>
          <w:iCs/>
        </w:rPr>
        <w:t>průběhu realizace zakázky dojde ke zvýšení poplatku za uložení odpadu na skládku na základě změny obecně závazného předpisu, který stanoví výši tohoto poplatku, a to o výši navýšení tohoto poplatku.</w:t>
      </w:r>
      <w:r w:rsidR="003C78EB">
        <w:rPr>
          <w:b w:val="0"/>
        </w:rPr>
        <w:t>“</w:t>
      </w:r>
      <w:r w:rsidR="003C78EB" w:rsidRPr="003C78EB">
        <w:rPr>
          <w:b w:val="0"/>
        </w:rPr>
        <w:t xml:space="preserve">   </w:t>
      </w:r>
    </w:p>
    <w:p w:rsidR="003C78EB" w:rsidRPr="003C78EB" w:rsidRDefault="003C78EB" w:rsidP="003C78EB">
      <w:pPr>
        <w:suppressAutoHyphens/>
        <w:spacing w:after="0" w:line="276" w:lineRule="auto"/>
        <w:ind w:left="567" w:firstLine="0"/>
      </w:pPr>
    </w:p>
    <w:p w:rsidR="003C78EB" w:rsidRPr="003C78EB" w:rsidRDefault="003C78EB" w:rsidP="003C78EB">
      <w:pPr>
        <w:suppressAutoHyphens/>
        <w:spacing w:after="0" w:line="276" w:lineRule="auto"/>
        <w:ind w:left="567" w:firstLine="0"/>
      </w:pPr>
      <w:r>
        <w:rPr>
          <w:b w:val="0"/>
        </w:rPr>
        <w:t xml:space="preserve">Zadavatel v souvislosti s výše uvedeným </w:t>
      </w:r>
      <w:r w:rsidR="005C3F20">
        <w:rPr>
          <w:b w:val="0"/>
        </w:rPr>
        <w:t xml:space="preserve">mění </w:t>
      </w:r>
      <w:proofErr w:type="spellStart"/>
      <w:r w:rsidR="005C3F20">
        <w:rPr>
          <w:b w:val="0"/>
        </w:rPr>
        <w:t>ust</w:t>
      </w:r>
      <w:proofErr w:type="spellEnd"/>
      <w:r w:rsidR="005C3F20">
        <w:rPr>
          <w:b w:val="0"/>
        </w:rPr>
        <w:t xml:space="preserve">. čl. </w:t>
      </w:r>
      <w:r>
        <w:rPr>
          <w:b w:val="0"/>
        </w:rPr>
        <w:t>4</w:t>
      </w:r>
      <w:r w:rsidR="005C3F20">
        <w:rPr>
          <w:b w:val="0"/>
        </w:rPr>
        <w:t xml:space="preserve"> odst. </w:t>
      </w:r>
      <w:r>
        <w:rPr>
          <w:b w:val="0"/>
        </w:rPr>
        <w:t>4</w:t>
      </w:r>
      <w:r w:rsidR="005C3F20">
        <w:rPr>
          <w:b w:val="0"/>
        </w:rPr>
        <w:t>.1</w:t>
      </w:r>
      <w:r>
        <w:rPr>
          <w:b w:val="0"/>
        </w:rPr>
        <w:t>0</w:t>
      </w:r>
      <w:r w:rsidR="005C3F20">
        <w:rPr>
          <w:b w:val="0"/>
        </w:rPr>
        <w:t xml:space="preserve">. smlouvy, které nově zní: </w:t>
      </w:r>
    </w:p>
    <w:p w:rsidR="003C78EB" w:rsidRPr="003C78EB" w:rsidRDefault="003C78EB" w:rsidP="003C78EB">
      <w:pPr>
        <w:suppressAutoHyphens/>
        <w:spacing w:after="0" w:line="276" w:lineRule="auto"/>
        <w:ind w:left="567" w:firstLine="0"/>
        <w:rPr>
          <w:b w:val="0"/>
          <w:i/>
          <w:iCs/>
        </w:rPr>
      </w:pPr>
      <w:r>
        <w:rPr>
          <w:b w:val="0"/>
        </w:rPr>
        <w:t>„</w:t>
      </w:r>
      <w:r w:rsidRPr="003C78EB">
        <w:rPr>
          <w:b w:val="0"/>
          <w:i/>
          <w:iCs/>
        </w:rPr>
        <w:t>Změna sjednané ceny je možná pouze v případě, že</w:t>
      </w:r>
    </w:p>
    <w:p w:rsidR="004F2196" w:rsidRPr="004F2196" w:rsidRDefault="003C78EB" w:rsidP="003C78EB">
      <w:pPr>
        <w:pStyle w:val="Odstavecseseznamem"/>
        <w:numPr>
          <w:ilvl w:val="0"/>
          <w:numId w:val="6"/>
        </w:numPr>
        <w:suppressAutoHyphens/>
        <w:spacing w:after="0" w:line="276" w:lineRule="auto"/>
        <w:rPr>
          <w:b w:val="0"/>
        </w:rPr>
      </w:pPr>
      <w:r w:rsidRPr="004F2196">
        <w:rPr>
          <w:b w:val="0"/>
          <w:i/>
          <w:iCs/>
        </w:rPr>
        <w:t xml:space="preserve">v průběhu realizace zakázky dojde k zákonné změně sazby DPH </w:t>
      </w:r>
    </w:p>
    <w:p w:rsidR="00580C9B" w:rsidRPr="004F2196" w:rsidRDefault="003C78EB" w:rsidP="003C78EB">
      <w:pPr>
        <w:pStyle w:val="Odstavecseseznamem"/>
        <w:numPr>
          <w:ilvl w:val="0"/>
          <w:numId w:val="6"/>
        </w:numPr>
        <w:suppressAutoHyphens/>
        <w:spacing w:after="0" w:line="276" w:lineRule="auto"/>
        <w:rPr>
          <w:b w:val="0"/>
        </w:rPr>
      </w:pPr>
      <w:r w:rsidRPr="004F2196">
        <w:rPr>
          <w:b w:val="0"/>
          <w:i/>
          <w:iCs/>
        </w:rPr>
        <w:t>v průběhu realizace zakázky dojde ke zvýšení poplatku za uložení odpadu na skládku na základě změny obecně závazného předpisu, který stanoví výši tohoto poplatku, a to o výši navýšení tohoto poplatku</w:t>
      </w:r>
      <w:r w:rsidRPr="004F2196">
        <w:rPr>
          <w:b w:val="0"/>
        </w:rPr>
        <w:t xml:space="preserve">.“   </w:t>
      </w:r>
    </w:p>
    <w:p w:rsidR="00580C9B" w:rsidRDefault="005C3F20" w:rsidP="00C6080F">
      <w:pPr>
        <w:spacing w:after="0" w:line="240" w:lineRule="auto"/>
        <w:ind w:left="0" w:firstLine="0"/>
        <w:jc w:val="left"/>
      </w:pPr>
      <w:r>
        <w:rPr>
          <w:b w:val="0"/>
        </w:rPr>
        <w:t xml:space="preserve"> </w:t>
      </w:r>
    </w:p>
    <w:p w:rsidR="00580C9B" w:rsidRPr="00C6080F" w:rsidRDefault="005C3F20" w:rsidP="003C78EB">
      <w:pPr>
        <w:spacing w:after="0" w:line="252" w:lineRule="auto"/>
        <w:ind w:left="-6" w:hanging="11"/>
        <w:rPr>
          <w:bCs/>
        </w:rPr>
      </w:pPr>
      <w:r w:rsidRPr="00C6080F">
        <w:rPr>
          <w:bCs/>
        </w:rPr>
        <w:t>Prodloužení lhůty pro podání nabídek:</w:t>
      </w:r>
    </w:p>
    <w:p w:rsidR="00580C9B" w:rsidRDefault="005C3F20" w:rsidP="003C78EB">
      <w:pPr>
        <w:spacing w:after="0" w:line="252" w:lineRule="auto"/>
        <w:ind w:left="-6" w:hanging="11"/>
      </w:pPr>
      <w:r>
        <w:rPr>
          <w:b w:val="0"/>
        </w:rPr>
        <w:t xml:space="preserve">Zadavatel tímto vysvětlením prodlužuje lhůtu pro podání nabídek. Konec lhůty pro podání nabídek je nově stanoven na </w:t>
      </w:r>
      <w:r w:rsidR="00A75B91">
        <w:rPr>
          <w:b w:val="0"/>
        </w:rPr>
        <w:t>30. 10. 2019</w:t>
      </w:r>
    </w:p>
    <w:p w:rsidR="003C78EB" w:rsidRDefault="003C78EB" w:rsidP="003C78EB">
      <w:pPr>
        <w:spacing w:after="0" w:line="252" w:lineRule="auto"/>
        <w:ind w:left="-6" w:hanging="11"/>
        <w:rPr>
          <w:b w:val="0"/>
        </w:rPr>
      </w:pPr>
    </w:p>
    <w:p w:rsidR="00580C9B" w:rsidRDefault="005C3F20" w:rsidP="003C78EB">
      <w:pPr>
        <w:spacing w:after="0" w:line="252" w:lineRule="auto"/>
        <w:ind w:left="-6" w:hanging="11"/>
      </w:pPr>
      <w:r>
        <w:rPr>
          <w:b w:val="0"/>
        </w:rPr>
        <w:t>S pozdravem,</w:t>
      </w:r>
    </w:p>
    <w:p w:rsidR="00A75B91" w:rsidRDefault="00A75B91">
      <w:pPr>
        <w:spacing w:after="222" w:line="259" w:lineRule="auto"/>
        <w:ind w:left="0" w:firstLine="0"/>
        <w:jc w:val="left"/>
        <w:rPr>
          <w:b w:val="0"/>
          <w:color w:val="333333"/>
        </w:rPr>
      </w:pPr>
      <w:bookmarkStart w:id="0" w:name="_GoBack"/>
      <w:bookmarkEnd w:id="0"/>
    </w:p>
    <w:p w:rsidR="00580C9B" w:rsidRDefault="005C3F20">
      <w:pPr>
        <w:spacing w:after="222" w:line="259" w:lineRule="auto"/>
        <w:ind w:left="0" w:firstLine="0"/>
        <w:jc w:val="left"/>
      </w:pPr>
      <w:r>
        <w:rPr>
          <w:b w:val="0"/>
          <w:color w:val="333333"/>
        </w:rPr>
        <w:t>........................................................</w:t>
      </w:r>
    </w:p>
    <w:p w:rsidR="00580C9B" w:rsidRDefault="005C3F20">
      <w:pPr>
        <w:spacing w:after="5"/>
        <w:ind w:left="-5" w:hanging="10"/>
      </w:pPr>
      <w:r>
        <w:rPr>
          <w:b w:val="0"/>
        </w:rPr>
        <w:t>Mgr. Lucie Moravčíková</w:t>
      </w:r>
    </w:p>
    <w:sectPr w:rsidR="00580C9B">
      <w:footerReference w:type="even" r:id="rId7"/>
      <w:footerReference w:type="default" r:id="rId8"/>
      <w:footerReference w:type="first" r:id="rId9"/>
      <w:pgSz w:w="11904" w:h="16838"/>
      <w:pgMar w:top="1430" w:right="1416" w:bottom="1651" w:left="1416"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365A" w:rsidRDefault="00C3365A">
      <w:pPr>
        <w:spacing w:after="0" w:line="240" w:lineRule="auto"/>
      </w:pPr>
      <w:r>
        <w:separator/>
      </w:r>
    </w:p>
  </w:endnote>
  <w:endnote w:type="continuationSeparator" w:id="0">
    <w:p w:rsidR="00C3365A" w:rsidRDefault="00C33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C9B" w:rsidRDefault="005C3F20">
    <w:pPr>
      <w:spacing w:after="0" w:line="259" w:lineRule="auto"/>
      <w:ind w:left="0" w:right="1" w:firstLine="0"/>
      <w:jc w:val="right"/>
    </w:pPr>
    <w:r>
      <w:rPr>
        <w:b w:val="0"/>
      </w:rPr>
      <w:t xml:space="preserve">- </w:t>
    </w:r>
    <w:r>
      <w:fldChar w:fldCharType="begin"/>
    </w:r>
    <w:r>
      <w:instrText xml:space="preserve"> PAGE   \* MERGEFORMAT </w:instrText>
    </w:r>
    <w:r>
      <w:fldChar w:fldCharType="separate"/>
    </w:r>
    <w:r>
      <w:rPr>
        <w:b w:val="0"/>
      </w:rPr>
      <w:t>1</w:t>
    </w:r>
    <w:r>
      <w:rPr>
        <w:b w:val="0"/>
      </w:rPr>
      <w:fldChar w:fldCharType="end"/>
    </w:r>
    <w:r>
      <w:rPr>
        <w:b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C9B" w:rsidRDefault="005C3F20">
    <w:pPr>
      <w:spacing w:after="0" w:line="259" w:lineRule="auto"/>
      <w:ind w:left="0" w:right="1" w:firstLine="0"/>
      <w:jc w:val="right"/>
    </w:pPr>
    <w:r>
      <w:rPr>
        <w:b w:val="0"/>
      </w:rPr>
      <w:t xml:space="preserve">- </w:t>
    </w:r>
    <w:r>
      <w:fldChar w:fldCharType="begin"/>
    </w:r>
    <w:r>
      <w:instrText xml:space="preserve"> PAGE   \* MERGEFORMAT </w:instrText>
    </w:r>
    <w:r>
      <w:fldChar w:fldCharType="separate"/>
    </w:r>
    <w:r w:rsidR="003512B9" w:rsidRPr="003512B9">
      <w:rPr>
        <w:b w:val="0"/>
        <w:noProof/>
      </w:rPr>
      <w:t>2</w:t>
    </w:r>
    <w:r>
      <w:rPr>
        <w:b w:val="0"/>
      </w:rPr>
      <w:fldChar w:fldCharType="end"/>
    </w:r>
    <w:r>
      <w:rPr>
        <w:b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C9B" w:rsidRDefault="005C3F20">
    <w:pPr>
      <w:spacing w:after="0" w:line="259" w:lineRule="auto"/>
      <w:ind w:left="0" w:right="1" w:firstLine="0"/>
      <w:jc w:val="right"/>
    </w:pPr>
    <w:r>
      <w:rPr>
        <w:b w:val="0"/>
      </w:rPr>
      <w:t xml:space="preserve">- </w:t>
    </w:r>
    <w:r>
      <w:fldChar w:fldCharType="begin"/>
    </w:r>
    <w:r>
      <w:instrText xml:space="preserve"> PAGE   \* MERGEFORMAT </w:instrText>
    </w:r>
    <w:r>
      <w:fldChar w:fldCharType="separate"/>
    </w:r>
    <w:r>
      <w:rPr>
        <w:b w:val="0"/>
      </w:rPr>
      <w:t>1</w:t>
    </w:r>
    <w:r>
      <w:rPr>
        <w:b w:val="0"/>
      </w:rPr>
      <w:fldChar w:fldCharType="end"/>
    </w:r>
    <w:r>
      <w:rPr>
        <w:b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365A" w:rsidRDefault="00C3365A">
      <w:pPr>
        <w:spacing w:after="0" w:line="240" w:lineRule="auto"/>
      </w:pPr>
      <w:r>
        <w:separator/>
      </w:r>
    </w:p>
  </w:footnote>
  <w:footnote w:type="continuationSeparator" w:id="0">
    <w:p w:rsidR="00C3365A" w:rsidRDefault="00C336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00000009"/>
    <w:name w:val="WW8Num17"/>
    <w:lvl w:ilvl="0">
      <w:start w:val="5"/>
      <w:numFmt w:val="decimal"/>
      <w:lvlText w:val="%1"/>
      <w:lvlJc w:val="left"/>
      <w:pPr>
        <w:tabs>
          <w:tab w:val="num" w:pos="0"/>
        </w:tabs>
        <w:ind w:left="720" w:hanging="360"/>
      </w:pPr>
      <w:rPr>
        <w:rFonts w:hint="default"/>
      </w:rPr>
    </w:lvl>
    <w:lvl w:ilvl="1">
      <w:start w:val="1"/>
      <w:numFmt w:val="decimal"/>
      <w:lvlText w:val="%1.%2"/>
      <w:lvlJc w:val="left"/>
      <w:pPr>
        <w:tabs>
          <w:tab w:val="num" w:pos="0"/>
        </w:tabs>
        <w:ind w:left="1065" w:hanging="705"/>
      </w:pPr>
      <w:rPr>
        <w:rFonts w:ascii="Verdana" w:hAnsi="Verdana" w:cs="Verdana" w:hint="default"/>
        <w:bCs/>
        <w:sz w:val="20"/>
        <w:szCs w:val="20"/>
      </w:rPr>
    </w:lvl>
    <w:lvl w:ilvl="2">
      <w:start w:val="1"/>
      <w:numFmt w:val="decimal"/>
      <w:lvlText w:val="%1.%2.%3"/>
      <w:lvlJc w:val="left"/>
      <w:pPr>
        <w:tabs>
          <w:tab w:val="num" w:pos="0"/>
        </w:tabs>
        <w:ind w:left="1080" w:hanging="720"/>
      </w:pPr>
      <w:rPr>
        <w:rFonts w:ascii="Verdana" w:hAnsi="Verdana" w:cs="Verdana" w:hint="default"/>
        <w:sz w:val="22"/>
      </w:rPr>
    </w:lvl>
    <w:lvl w:ilvl="3">
      <w:start w:val="1"/>
      <w:numFmt w:val="decimal"/>
      <w:lvlText w:val="%1.%2.%3.%4"/>
      <w:lvlJc w:val="left"/>
      <w:pPr>
        <w:tabs>
          <w:tab w:val="num" w:pos="0"/>
        </w:tabs>
        <w:ind w:left="1080" w:hanging="720"/>
      </w:pPr>
      <w:rPr>
        <w:rFonts w:ascii="Verdana" w:hAnsi="Verdana" w:cs="Verdana" w:hint="default"/>
        <w:sz w:val="22"/>
      </w:rPr>
    </w:lvl>
    <w:lvl w:ilvl="4">
      <w:start w:val="1"/>
      <w:numFmt w:val="decimal"/>
      <w:lvlText w:val="%1.%2.%3.%4.%5"/>
      <w:lvlJc w:val="left"/>
      <w:pPr>
        <w:tabs>
          <w:tab w:val="num" w:pos="0"/>
        </w:tabs>
        <w:ind w:left="1440" w:hanging="1080"/>
      </w:pPr>
      <w:rPr>
        <w:rFonts w:ascii="Verdana" w:hAnsi="Verdana" w:cs="Verdana" w:hint="default"/>
        <w:sz w:val="22"/>
      </w:rPr>
    </w:lvl>
    <w:lvl w:ilvl="5">
      <w:start w:val="1"/>
      <w:numFmt w:val="decimal"/>
      <w:lvlText w:val="%1.%2.%3.%4.%5.%6"/>
      <w:lvlJc w:val="left"/>
      <w:pPr>
        <w:tabs>
          <w:tab w:val="num" w:pos="0"/>
        </w:tabs>
        <w:ind w:left="1440" w:hanging="1080"/>
      </w:pPr>
      <w:rPr>
        <w:rFonts w:ascii="Verdana" w:hAnsi="Verdana" w:cs="Verdana" w:hint="default"/>
        <w:sz w:val="22"/>
      </w:rPr>
    </w:lvl>
    <w:lvl w:ilvl="6">
      <w:start w:val="1"/>
      <w:numFmt w:val="decimal"/>
      <w:lvlText w:val="%1.%2.%3.%4.%5.%6.%7"/>
      <w:lvlJc w:val="left"/>
      <w:pPr>
        <w:tabs>
          <w:tab w:val="num" w:pos="0"/>
        </w:tabs>
        <w:ind w:left="1800" w:hanging="1440"/>
      </w:pPr>
      <w:rPr>
        <w:rFonts w:ascii="Verdana" w:hAnsi="Verdana" w:cs="Verdana" w:hint="default"/>
        <w:sz w:val="22"/>
      </w:rPr>
    </w:lvl>
    <w:lvl w:ilvl="7">
      <w:start w:val="1"/>
      <w:numFmt w:val="decimal"/>
      <w:lvlText w:val="%1.%2.%3.%4.%5.%6.%7.%8"/>
      <w:lvlJc w:val="left"/>
      <w:pPr>
        <w:tabs>
          <w:tab w:val="num" w:pos="0"/>
        </w:tabs>
        <w:ind w:left="1800" w:hanging="1440"/>
      </w:pPr>
      <w:rPr>
        <w:rFonts w:ascii="Verdana" w:hAnsi="Verdana" w:cs="Verdana" w:hint="default"/>
        <w:sz w:val="22"/>
      </w:rPr>
    </w:lvl>
    <w:lvl w:ilvl="8">
      <w:start w:val="1"/>
      <w:numFmt w:val="decimal"/>
      <w:lvlText w:val="%1.%2.%3.%4.%5.%6.%7.%8.%9"/>
      <w:lvlJc w:val="left"/>
      <w:pPr>
        <w:tabs>
          <w:tab w:val="num" w:pos="0"/>
        </w:tabs>
        <w:ind w:left="2160" w:hanging="1800"/>
      </w:pPr>
      <w:rPr>
        <w:rFonts w:ascii="Verdana" w:hAnsi="Verdana" w:cs="Verdana" w:hint="default"/>
        <w:sz w:val="22"/>
      </w:rPr>
    </w:lvl>
  </w:abstractNum>
  <w:abstractNum w:abstractNumId="1" w15:restartNumberingAfterBreak="0">
    <w:nsid w:val="1B652C9F"/>
    <w:multiLevelType w:val="hybridMultilevel"/>
    <w:tmpl w:val="CB82D0DE"/>
    <w:lvl w:ilvl="0" w:tplc="D7DCA1BA">
      <w:start w:val="1"/>
      <w:numFmt w:val="lowerLetter"/>
      <w:lvlText w:val="%1)"/>
      <w:lvlJc w:val="left"/>
      <w:pPr>
        <w:ind w:left="720" w:hanging="360"/>
      </w:pPr>
      <w:rPr>
        <w:rFonts w:ascii="Verdana" w:hAnsi="Verdana" w:cs="Verdana" w:hint="default"/>
        <w:color w:val="C9211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201D77"/>
    <w:multiLevelType w:val="multilevel"/>
    <w:tmpl w:val="0B1ED422"/>
    <w:lvl w:ilvl="0">
      <w:start w:val="1"/>
      <w:numFmt w:val="decimal"/>
      <w:lvlText w:val="%1."/>
      <w:lvlJc w:val="left"/>
      <w:pPr>
        <w:ind w:left="720" w:hanging="360"/>
      </w:pPr>
      <w:rPr>
        <w:rFonts w:ascii="Calibri" w:hAnsi="Calibri"/>
        <w:b/>
      </w:rPr>
    </w:lvl>
    <w:lvl w:ilvl="1">
      <w:start w:val="1"/>
      <w:numFmt w:val="decimal"/>
      <w:lvlText w:val="%1.%2."/>
      <w:lvlJc w:val="left"/>
      <w:pPr>
        <w:ind w:left="1080" w:hanging="720"/>
      </w:pPr>
      <w:rPr>
        <w:rFonts w:ascii="Calibri" w:eastAsia="Calibri" w:hAnsi="Calibri" w:cs="Calibri"/>
        <w:b/>
        <w:kern w:val="2"/>
        <w:lang w:val="cs-CZ" w:eastAsia="en-US"/>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410A6871"/>
    <w:multiLevelType w:val="hybridMultilevel"/>
    <w:tmpl w:val="4E48927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492E3E52"/>
    <w:multiLevelType w:val="hybridMultilevel"/>
    <w:tmpl w:val="EC483F54"/>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7F2D2E37"/>
    <w:multiLevelType w:val="hybridMultilevel"/>
    <w:tmpl w:val="DCCC0898"/>
    <w:lvl w:ilvl="0" w:tplc="159A3BB8">
      <w:start w:val="1"/>
      <w:numFmt w:val="lowerLetter"/>
      <w:lvlText w:val="%1)"/>
      <w:lvlJc w:val="left"/>
      <w:pPr>
        <w:ind w:left="1287" w:hanging="360"/>
      </w:pPr>
      <w:rPr>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0C9B"/>
    <w:rsid w:val="000829BF"/>
    <w:rsid w:val="00146D2A"/>
    <w:rsid w:val="003512B9"/>
    <w:rsid w:val="003C78EB"/>
    <w:rsid w:val="004F2196"/>
    <w:rsid w:val="00580C9B"/>
    <w:rsid w:val="005A3419"/>
    <w:rsid w:val="005C3F20"/>
    <w:rsid w:val="00656AC1"/>
    <w:rsid w:val="009E5D66"/>
    <w:rsid w:val="00A75B91"/>
    <w:rsid w:val="00AE368E"/>
    <w:rsid w:val="00C3365A"/>
    <w:rsid w:val="00C6080F"/>
    <w:rsid w:val="00D04C2C"/>
    <w:rsid w:val="00D440DA"/>
    <w:rsid w:val="00E425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BDA54"/>
  <w15:docId w15:val="{78841CE3-F3D0-6E43-94E7-8443E763E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pPr>
      <w:spacing w:after="20" w:line="253" w:lineRule="auto"/>
      <w:ind w:left="370" w:hanging="370"/>
      <w:jc w:val="both"/>
    </w:pPr>
    <w:rPr>
      <w:rFonts w:ascii="Microsoft Sans Serif" w:eastAsia="Microsoft Sans Serif" w:hAnsi="Microsoft Sans Serif" w:cs="Microsoft Sans Serif"/>
      <w:b/>
      <w:color w:val="00000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C7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893</Words>
  <Characters>5032</Characters>
  <Application>Microsoft Office Word</Application>
  <DocSecurity>0</DocSecurity>
  <Lines>91</Lines>
  <Paragraphs>37</Paragraphs>
  <ScaleCrop>false</ScaleCrop>
  <HeadingPairs>
    <vt:vector size="2" baseType="variant">
      <vt:variant>
        <vt:lpstr>Název</vt:lpstr>
      </vt:variant>
      <vt:variant>
        <vt:i4>1</vt:i4>
      </vt:variant>
    </vt:vector>
  </HeadingPairs>
  <TitlesOfParts>
    <vt:vector size="1" baseType="lpstr">
      <vt:lpstr/>
    </vt:vector>
  </TitlesOfParts>
  <Company>MgTP</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otidea</dc:creator>
  <cp:lastModifiedBy>Lucie Moravčíková</cp:lastModifiedBy>
  <cp:revision>3</cp:revision>
  <dcterms:created xsi:type="dcterms:W3CDTF">2019-09-20T11:36:00Z</dcterms:created>
  <dcterms:modified xsi:type="dcterms:W3CDTF">2019-09-20T14:00:00Z</dcterms:modified>
</cp:coreProperties>
</file>