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9AA8F" w14:textId="77777777" w:rsidR="00FB108D" w:rsidRDefault="00FB108D" w:rsidP="005E4012">
      <w:pPr>
        <w:rPr>
          <w:sz w:val="24"/>
          <w:szCs w:val="24"/>
        </w:rPr>
      </w:pPr>
    </w:p>
    <w:p w14:paraId="16DAD680" w14:textId="77777777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bookmarkStart w:id="0" w:name="_Hlk123908248"/>
      <w:bookmarkStart w:id="1" w:name="_Hlk123908263"/>
      <w:r w:rsidRPr="00D373B9">
        <w:rPr>
          <w:rFonts w:eastAsia="Calibri"/>
          <w:b/>
          <w:caps/>
          <w:color w:val="000000"/>
          <w:sz w:val="36"/>
          <w:szCs w:val="36"/>
        </w:rPr>
        <w:t xml:space="preserve">ČESTNÉ PROHLÁŠENÍ </w:t>
      </w:r>
    </w:p>
    <w:p w14:paraId="6463AA50" w14:textId="20CCA20F" w:rsidR="000C289B" w:rsidRPr="00D373B9" w:rsidRDefault="000C289B" w:rsidP="000C289B">
      <w:pPr>
        <w:ind w:left="180"/>
        <w:jc w:val="center"/>
        <w:rPr>
          <w:rFonts w:eastAsia="Calibri"/>
          <w:b/>
          <w:caps/>
          <w:color w:val="000000"/>
          <w:sz w:val="36"/>
          <w:szCs w:val="36"/>
        </w:rPr>
      </w:pPr>
      <w:r w:rsidRPr="00D373B9">
        <w:rPr>
          <w:rFonts w:eastAsia="Calibri"/>
          <w:b/>
          <w:caps/>
          <w:color w:val="000000"/>
          <w:sz w:val="36"/>
          <w:szCs w:val="36"/>
        </w:rPr>
        <w:t>o splnění kvalifikačních předpokladů</w:t>
      </w:r>
    </w:p>
    <w:p w14:paraId="5E89B9A5" w14:textId="77777777" w:rsidR="000C289B" w:rsidRPr="00D373B9" w:rsidRDefault="000C289B" w:rsidP="000C289B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D373B9">
        <w:rPr>
          <w:rFonts w:eastAsia="Calibri"/>
          <w:bCs/>
          <w:color w:val="000000"/>
          <w:sz w:val="24"/>
          <w:szCs w:val="24"/>
        </w:rPr>
        <w:t>pro veřejnou zakázku s názvem:</w:t>
      </w:r>
    </w:p>
    <w:p w14:paraId="64A3CF13" w14:textId="2113A44D" w:rsidR="000C289B" w:rsidRPr="00D373B9" w:rsidRDefault="005D2B93" w:rsidP="00B25995">
      <w:pPr>
        <w:ind w:left="180"/>
        <w:jc w:val="center"/>
        <w:rPr>
          <w:rFonts w:eastAsia="Calibri"/>
          <w:bCs/>
          <w:color w:val="000000"/>
          <w:sz w:val="24"/>
          <w:szCs w:val="24"/>
        </w:rPr>
      </w:pPr>
      <w:r w:rsidRPr="005D2B93">
        <w:rPr>
          <w:rFonts w:eastAsia="Calibri"/>
          <w:bCs/>
          <w:color w:val="000000"/>
          <w:sz w:val="24"/>
          <w:szCs w:val="24"/>
        </w:rPr>
        <w:t>„</w:t>
      </w:r>
      <w:r w:rsidR="00C44C85" w:rsidRPr="00C44C85">
        <w:rPr>
          <w:rFonts w:eastAsia="Calibri"/>
          <w:bCs/>
          <w:color w:val="000000"/>
          <w:sz w:val="24"/>
          <w:szCs w:val="24"/>
        </w:rPr>
        <w:t xml:space="preserve">Výstavba nové </w:t>
      </w:r>
      <w:proofErr w:type="gramStart"/>
      <w:r w:rsidR="00C44C85" w:rsidRPr="00C44C85">
        <w:rPr>
          <w:rFonts w:eastAsia="Calibri"/>
          <w:bCs/>
          <w:color w:val="000000"/>
          <w:sz w:val="24"/>
          <w:szCs w:val="24"/>
        </w:rPr>
        <w:t>měnírny - MR</w:t>
      </w:r>
      <w:proofErr w:type="gramEnd"/>
      <w:r w:rsidR="00C44C85" w:rsidRPr="00C44C85">
        <w:rPr>
          <w:rFonts w:eastAsia="Calibri"/>
          <w:bCs/>
          <w:color w:val="000000"/>
          <w:sz w:val="24"/>
          <w:szCs w:val="24"/>
        </w:rPr>
        <w:t xml:space="preserve"> 5 Šanov II, Teplice</w:t>
      </w:r>
      <w:r w:rsidRPr="005D2B93">
        <w:rPr>
          <w:rFonts w:eastAsia="Calibri"/>
          <w:bCs/>
          <w:color w:val="000000"/>
          <w:sz w:val="24"/>
          <w:szCs w:val="24"/>
        </w:rPr>
        <w:t>“</w:t>
      </w:r>
    </w:p>
    <w:p w14:paraId="13128EE3" w14:textId="77777777" w:rsidR="00C43F63" w:rsidRPr="00C43F63" w:rsidRDefault="00C43F63" w:rsidP="00C43F63">
      <w:pPr>
        <w:spacing w:before="240"/>
        <w:ind w:right="-284"/>
        <w:rPr>
          <w:rFonts w:cstheme="minorHAnsi"/>
          <w:b/>
          <w:sz w:val="24"/>
          <w:szCs w:val="28"/>
        </w:rPr>
      </w:pPr>
      <w:bookmarkStart w:id="2" w:name="_Toc62811215"/>
      <w:bookmarkStart w:id="3" w:name="_Toc62811344"/>
      <w:bookmarkStart w:id="4" w:name="_Toc124434946"/>
      <w:bookmarkStart w:id="5" w:name="_Hlk217997712"/>
      <w:bookmarkEnd w:id="0"/>
      <w:bookmarkEnd w:id="1"/>
      <w:r w:rsidRPr="00C43F63">
        <w:rPr>
          <w:rFonts w:eastAsiaTheme="majorEastAsia" w:cstheme="minorHAnsi"/>
          <w:b/>
          <w:sz w:val="24"/>
          <w:szCs w:val="28"/>
          <w:lang w:eastAsia="cs-CZ"/>
        </w:rPr>
        <w:t xml:space="preserve">Identifikační údaje </w:t>
      </w:r>
      <w:bookmarkEnd w:id="2"/>
      <w:bookmarkEnd w:id="3"/>
      <w:bookmarkEnd w:id="4"/>
      <w:r w:rsidRPr="00C43F63">
        <w:rPr>
          <w:rFonts w:eastAsiaTheme="majorEastAsia" w:cstheme="minorHAnsi"/>
          <w:b/>
          <w:sz w:val="24"/>
          <w:szCs w:val="28"/>
          <w:lang w:eastAsia="cs-CZ"/>
        </w:rPr>
        <w:t>dodavatele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C43F63" w:rsidRPr="004F692C" w14:paraId="3AB78B88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4A0048D8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bookmarkStart w:id="6" w:name="_Hlk112915913"/>
            <w:r w:rsidRPr="00C43F63">
              <w:rPr>
                <w:rFonts w:cstheme="minorHAnsi"/>
                <w:sz w:val="24"/>
                <w:szCs w:val="24"/>
              </w:rPr>
              <w:t>Název:</w:t>
            </w:r>
          </w:p>
        </w:tc>
        <w:tc>
          <w:tcPr>
            <w:tcW w:w="2187" w:type="pct"/>
            <w:vAlign w:val="center"/>
          </w:tcPr>
          <w:p w14:paraId="07F77105" w14:textId="54037736" w:rsidR="00C43F63" w:rsidRPr="005D2B93" w:rsidRDefault="005D2B9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5D2B9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C43F63" w:rsidRPr="004F692C" w14:paraId="0885537C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2E70BB8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Sídlo:</w:t>
            </w:r>
          </w:p>
        </w:tc>
        <w:tc>
          <w:tcPr>
            <w:tcW w:w="2187" w:type="pct"/>
            <w:vAlign w:val="center"/>
          </w:tcPr>
          <w:p w14:paraId="35D6B25C" w14:textId="5DD3C6B2" w:rsidR="00C43F63" w:rsidRPr="005D2B93" w:rsidRDefault="005D2B93" w:rsidP="00101C60">
            <w:pPr>
              <w:jc w:val="center"/>
              <w:rPr>
                <w:b/>
                <w:sz w:val="24"/>
                <w:szCs w:val="24"/>
                <w:highlight w:val="yellow"/>
                <w:u w:val="single"/>
              </w:rPr>
            </w:pPr>
            <w:r w:rsidRPr="005D2B9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C43F63" w:rsidRPr="004F692C" w14:paraId="091B16BE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7DE06A46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IČO:</w:t>
            </w:r>
          </w:p>
        </w:tc>
        <w:tc>
          <w:tcPr>
            <w:tcW w:w="2187" w:type="pct"/>
            <w:vAlign w:val="center"/>
          </w:tcPr>
          <w:p w14:paraId="255A0268" w14:textId="7710F864" w:rsidR="00C43F63" w:rsidRPr="005D2B93" w:rsidRDefault="005D2B9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5D2B9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C43F63" w:rsidRPr="004F692C" w14:paraId="3F2750AF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F442B05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Údaj o zápisu do veřejného rejstříku: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t xml:space="preserve"> </w:t>
            </w:r>
            <w:r w:rsidRPr="00C43F63">
              <w:rPr>
                <w:rStyle w:val="Znakapoznpodarou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2187" w:type="pct"/>
            <w:vAlign w:val="center"/>
          </w:tcPr>
          <w:p w14:paraId="25336145" w14:textId="1AC4B767" w:rsidR="00C43F63" w:rsidRPr="005D2B93" w:rsidRDefault="005D2B93" w:rsidP="00101C60">
            <w:pPr>
              <w:jc w:val="center"/>
              <w:rPr>
                <w:sz w:val="24"/>
                <w:szCs w:val="24"/>
                <w:highlight w:val="yellow"/>
              </w:rPr>
            </w:pPr>
            <w:r w:rsidRPr="005D2B9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C43F63" w:rsidRPr="004F692C" w14:paraId="4FC5720D" w14:textId="77777777" w:rsidTr="00C43F63">
        <w:trPr>
          <w:trHeight w:val="438"/>
        </w:trPr>
        <w:tc>
          <w:tcPr>
            <w:tcW w:w="2813" w:type="pct"/>
            <w:shd w:val="clear" w:color="auto" w:fill="D9D9D9" w:themeFill="background1" w:themeFillShade="D9"/>
            <w:vAlign w:val="center"/>
          </w:tcPr>
          <w:p w14:paraId="624F2163" w14:textId="77777777" w:rsidR="00C43F63" w:rsidRPr="00C43F63" w:rsidRDefault="00C43F63" w:rsidP="00101C60">
            <w:pPr>
              <w:rPr>
                <w:rFonts w:cstheme="minorHAnsi"/>
                <w:sz w:val="24"/>
                <w:szCs w:val="24"/>
              </w:rPr>
            </w:pPr>
            <w:r w:rsidRPr="00C43F63">
              <w:rPr>
                <w:rFonts w:cstheme="minorHAnsi"/>
                <w:sz w:val="24"/>
                <w:szCs w:val="24"/>
              </w:rPr>
              <w:t>Osoba oprávněná jednat za dodavatele:</w:t>
            </w:r>
          </w:p>
        </w:tc>
        <w:tc>
          <w:tcPr>
            <w:tcW w:w="2187" w:type="pct"/>
            <w:vAlign w:val="center"/>
          </w:tcPr>
          <w:p w14:paraId="10C0CEAD" w14:textId="74693DF2" w:rsidR="00C43F63" w:rsidRPr="005D2B93" w:rsidRDefault="005D2B93" w:rsidP="00101C60">
            <w:pPr>
              <w:tabs>
                <w:tab w:val="left" w:pos="132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5D2B93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bookmarkEnd w:id="5"/>
      <w:bookmarkEnd w:id="6"/>
    </w:tbl>
    <w:p w14:paraId="58D342B1" w14:textId="77777777" w:rsidR="00A64255" w:rsidRDefault="00A64255" w:rsidP="005E4012">
      <w:pPr>
        <w:rPr>
          <w:sz w:val="24"/>
          <w:szCs w:val="24"/>
        </w:rPr>
      </w:pPr>
    </w:p>
    <w:p w14:paraId="7498F1CA" w14:textId="29CD9377" w:rsidR="005E4012" w:rsidRPr="00B320C2" w:rsidRDefault="4AA3017E" w:rsidP="005E4012">
      <w:pPr>
        <w:rPr>
          <w:sz w:val="24"/>
          <w:szCs w:val="24"/>
        </w:rPr>
      </w:pPr>
      <w:r w:rsidRPr="4AA3017E">
        <w:rPr>
          <w:sz w:val="24"/>
          <w:szCs w:val="24"/>
        </w:rPr>
        <w:t>Dodavatel tímto čestně prohlašuje, že splňuje kvalifikační předpoklady, které stanovil zadavatel</w:t>
      </w:r>
      <w:r w:rsidR="00514E32">
        <w:rPr>
          <w:sz w:val="24"/>
          <w:szCs w:val="24"/>
        </w:rPr>
        <w:t xml:space="preserve"> Statutární město Teplice</w:t>
      </w:r>
      <w:r w:rsidR="00C06D6A" w:rsidRPr="00C06D6A">
        <w:rPr>
          <w:sz w:val="24"/>
          <w:szCs w:val="24"/>
        </w:rPr>
        <w:t xml:space="preserve"> </w:t>
      </w:r>
      <w:r w:rsidRPr="4AA3017E">
        <w:rPr>
          <w:sz w:val="24"/>
          <w:szCs w:val="24"/>
        </w:rPr>
        <w:t>v</w:t>
      </w:r>
      <w:r w:rsidR="002E41CD">
        <w:rPr>
          <w:sz w:val="24"/>
          <w:szCs w:val="24"/>
        </w:rPr>
        <w:t>e výzvě k podávání nabídek k</w:t>
      </w:r>
      <w:r w:rsidRPr="4AA3017E">
        <w:rPr>
          <w:sz w:val="24"/>
          <w:szCs w:val="24"/>
        </w:rPr>
        <w:t> </w:t>
      </w:r>
      <w:r w:rsidR="00C06D6A" w:rsidRPr="00C06D6A">
        <w:rPr>
          <w:sz w:val="24"/>
          <w:szCs w:val="24"/>
        </w:rPr>
        <w:t xml:space="preserve">veřejné zakázce </w:t>
      </w:r>
      <w:r w:rsidRPr="4AA3017E">
        <w:rPr>
          <w:sz w:val="24"/>
          <w:szCs w:val="24"/>
        </w:rPr>
        <w:t>s názvem „</w:t>
      </w:r>
      <w:r w:rsidR="00C44C85" w:rsidRPr="00C44C85">
        <w:rPr>
          <w:rFonts w:eastAsia="Calibri"/>
          <w:bCs/>
          <w:color w:val="000000"/>
          <w:sz w:val="24"/>
          <w:szCs w:val="24"/>
        </w:rPr>
        <w:t xml:space="preserve">Výstavba nové </w:t>
      </w:r>
      <w:proofErr w:type="gramStart"/>
      <w:r w:rsidR="00C44C85" w:rsidRPr="00C44C85">
        <w:rPr>
          <w:rFonts w:eastAsia="Calibri"/>
          <w:bCs/>
          <w:color w:val="000000"/>
          <w:sz w:val="24"/>
          <w:szCs w:val="24"/>
        </w:rPr>
        <w:t>měnírny - MR</w:t>
      </w:r>
      <w:proofErr w:type="gramEnd"/>
      <w:r w:rsidR="00C44C85" w:rsidRPr="00C44C85">
        <w:rPr>
          <w:rFonts w:eastAsia="Calibri"/>
          <w:bCs/>
          <w:color w:val="000000"/>
          <w:sz w:val="24"/>
          <w:szCs w:val="24"/>
        </w:rPr>
        <w:t xml:space="preserve"> 5 Šanov II, Teplice</w:t>
      </w:r>
      <w:r w:rsidRPr="4AA3017E">
        <w:rPr>
          <w:sz w:val="24"/>
          <w:szCs w:val="24"/>
        </w:rPr>
        <w:t>“ v následujícím rozsahu</w:t>
      </w:r>
      <w:r w:rsidR="00995C07">
        <w:rPr>
          <w:rStyle w:val="Znakapoznpodarou"/>
          <w:sz w:val="24"/>
          <w:szCs w:val="24"/>
        </w:rPr>
        <w:footnoteReference w:id="3"/>
      </w:r>
      <w:r w:rsidRPr="4AA3017E">
        <w:rPr>
          <w:sz w:val="24"/>
          <w:szCs w:val="24"/>
        </w:rPr>
        <w:t>:</w:t>
      </w:r>
    </w:p>
    <w:p w14:paraId="2A80C82C" w14:textId="77777777" w:rsidR="005E4012" w:rsidRPr="00D373B9" w:rsidRDefault="005E4012" w:rsidP="00D373B9">
      <w:pPr>
        <w:pStyle w:val="SML1"/>
        <w:rPr>
          <w:rStyle w:val="Siln"/>
          <w:b/>
          <w:bCs/>
        </w:rPr>
      </w:pPr>
      <w:r w:rsidRPr="00D373B9">
        <w:rPr>
          <w:rStyle w:val="Siln"/>
          <w:b/>
          <w:bCs/>
        </w:rPr>
        <w:t xml:space="preserve">Základní způsobilost </w:t>
      </w:r>
    </w:p>
    <w:p w14:paraId="59080E09" w14:textId="036E738C" w:rsidR="00B20851" w:rsidRPr="00D373B9" w:rsidRDefault="00B20851" w:rsidP="00D373B9">
      <w:pPr>
        <w:pStyle w:val="SML11"/>
        <w:rPr>
          <w:u w:val="single"/>
        </w:rPr>
      </w:pPr>
      <w:r w:rsidRPr="00D373B9">
        <w:rPr>
          <w:u w:val="single"/>
        </w:rPr>
        <w:t>Dle § 74 odst. 1 písm. b) zákona č. 134/2016 Sb., o zadávání veřejných zakázek (dále jen „</w:t>
      </w:r>
      <w:r w:rsidRPr="00D373B9">
        <w:rPr>
          <w:b/>
          <w:u w:val="single"/>
        </w:rPr>
        <w:t>ZZVZ</w:t>
      </w:r>
      <w:r w:rsidRPr="00D373B9">
        <w:rPr>
          <w:u w:val="single"/>
        </w:rPr>
        <w:t>“):</w:t>
      </w:r>
    </w:p>
    <w:p w14:paraId="1E70660F" w14:textId="2A8C6E93" w:rsidR="00B20851" w:rsidRDefault="005D2B93" w:rsidP="00D373B9">
      <w:pPr>
        <w:ind w:left="851"/>
        <w:rPr>
          <w:sz w:val="24"/>
          <w:szCs w:val="24"/>
        </w:rPr>
      </w:pPr>
      <w:r>
        <w:rPr>
          <w:sz w:val="24"/>
          <w:szCs w:val="24"/>
        </w:rPr>
        <w:t>D</w:t>
      </w:r>
      <w:r w:rsidR="00B20851" w:rsidRPr="00B320C2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prohlašuje, že nemá </w:t>
      </w:r>
      <w:r w:rsidR="00B20851" w:rsidRPr="00B320C2">
        <w:rPr>
          <w:sz w:val="24"/>
          <w:szCs w:val="24"/>
        </w:rPr>
        <w:t>v České republice nebo v zemi svého sídla v evidenci daní zachycen splatný daňový nedoplatek</w:t>
      </w:r>
      <w:r w:rsidR="00B20851">
        <w:rPr>
          <w:sz w:val="24"/>
          <w:szCs w:val="24"/>
        </w:rPr>
        <w:t xml:space="preserve"> </w:t>
      </w:r>
      <w:r w:rsidR="00F64495">
        <w:rPr>
          <w:sz w:val="24"/>
          <w:szCs w:val="24"/>
        </w:rPr>
        <w:t xml:space="preserve">ve vztahu ke </w:t>
      </w:r>
      <w:r w:rsidR="00B20851">
        <w:rPr>
          <w:sz w:val="24"/>
          <w:szCs w:val="24"/>
        </w:rPr>
        <w:t xml:space="preserve">spotřební </w:t>
      </w:r>
      <w:r w:rsidR="00F64495">
        <w:rPr>
          <w:sz w:val="24"/>
          <w:szCs w:val="24"/>
        </w:rPr>
        <w:t>dani</w:t>
      </w:r>
      <w:r w:rsidR="00B20851" w:rsidRPr="00B320C2">
        <w:rPr>
          <w:sz w:val="24"/>
          <w:szCs w:val="24"/>
        </w:rPr>
        <w:t>.</w:t>
      </w:r>
    </w:p>
    <w:p w14:paraId="7A268625" w14:textId="26D614E2" w:rsidR="00C432CC" w:rsidRPr="00D373B9" w:rsidRDefault="00C432CC" w:rsidP="00D373B9">
      <w:pPr>
        <w:pStyle w:val="SML11"/>
        <w:rPr>
          <w:u w:val="single"/>
        </w:rPr>
      </w:pPr>
      <w:r w:rsidRPr="00D373B9">
        <w:rPr>
          <w:u w:val="single"/>
        </w:rPr>
        <w:t xml:space="preserve">Dle § 74 odst. 1 písm. c) </w:t>
      </w:r>
      <w:r w:rsidR="00B20851" w:rsidRPr="00D373B9">
        <w:rPr>
          <w:u w:val="single"/>
        </w:rPr>
        <w:t>ZZVZ</w:t>
      </w:r>
      <w:r w:rsidRPr="00D373B9">
        <w:rPr>
          <w:u w:val="single"/>
        </w:rPr>
        <w:t>:</w:t>
      </w:r>
    </w:p>
    <w:p w14:paraId="32F5458F" w14:textId="6489F4C9" w:rsidR="00C432CC" w:rsidRPr="00B320C2" w:rsidRDefault="005D2B93" w:rsidP="00D373B9">
      <w:pPr>
        <w:ind w:left="851"/>
        <w:rPr>
          <w:sz w:val="24"/>
          <w:szCs w:val="24"/>
        </w:rPr>
      </w:pPr>
      <w:r>
        <w:rPr>
          <w:sz w:val="24"/>
          <w:szCs w:val="24"/>
        </w:rPr>
        <w:t>D</w:t>
      </w:r>
      <w:r w:rsidRPr="00B320C2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prohlašuje, že nemá </w:t>
      </w:r>
      <w:r w:rsidR="00C432CC" w:rsidRPr="00B320C2">
        <w:rPr>
          <w:sz w:val="24"/>
          <w:szCs w:val="24"/>
        </w:rPr>
        <w:t>v České republice nebo zemi svého sídla splatný nedoplatek na</w:t>
      </w:r>
      <w:r w:rsidR="00D373B9">
        <w:rPr>
          <w:sz w:val="24"/>
          <w:szCs w:val="24"/>
        </w:rPr>
        <w:t> </w:t>
      </w:r>
      <w:r w:rsidR="00C432CC" w:rsidRPr="00B320C2">
        <w:rPr>
          <w:sz w:val="24"/>
          <w:szCs w:val="24"/>
        </w:rPr>
        <w:t xml:space="preserve">pojistném nebo na penále na veřejné zdravotní pojištění. </w:t>
      </w:r>
    </w:p>
    <w:p w14:paraId="522795CA" w14:textId="5B82B61A" w:rsidR="008B7A98" w:rsidRPr="00D373B9" w:rsidRDefault="008B7A98" w:rsidP="00D373B9">
      <w:pPr>
        <w:pStyle w:val="SML11"/>
        <w:rPr>
          <w:u w:val="single"/>
        </w:rPr>
      </w:pPr>
      <w:r w:rsidRPr="00D373B9">
        <w:rPr>
          <w:u w:val="single"/>
        </w:rPr>
        <w:t>Dle § 74 odst. 1 písm. e) ZZVZ:</w:t>
      </w:r>
    </w:p>
    <w:p w14:paraId="53AA3668" w14:textId="2C1A3E9C" w:rsidR="008B7A98" w:rsidRDefault="005D2B93" w:rsidP="00D373B9">
      <w:pPr>
        <w:ind w:left="851"/>
        <w:rPr>
          <w:sz w:val="24"/>
          <w:szCs w:val="24"/>
        </w:rPr>
      </w:pPr>
      <w:r>
        <w:rPr>
          <w:sz w:val="24"/>
          <w:szCs w:val="24"/>
        </w:rPr>
        <w:t>D</w:t>
      </w:r>
      <w:r w:rsidRPr="00B320C2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prohlašuje, že není </w:t>
      </w:r>
      <w:r w:rsidR="008B7A98" w:rsidRPr="00B320C2">
        <w:rPr>
          <w:sz w:val="24"/>
          <w:szCs w:val="24"/>
        </w:rPr>
        <w:t>v likvidaci, nebylo proti němu vydáno rozhodnutí o</w:t>
      </w:r>
      <w:r>
        <w:rPr>
          <w:sz w:val="24"/>
          <w:szCs w:val="24"/>
        </w:rPr>
        <w:t> </w:t>
      </w:r>
      <w:r w:rsidR="008B7A98" w:rsidRPr="00B320C2">
        <w:rPr>
          <w:sz w:val="24"/>
          <w:szCs w:val="24"/>
        </w:rPr>
        <w:t>úpadku, nebyla podle jiného právního předpisu vůči němu nařízena nucená správa nebo není v obdobné situaci podle právního řádu země svého sídla</w:t>
      </w:r>
      <w:r w:rsidR="008B7A98">
        <w:rPr>
          <w:sz w:val="24"/>
          <w:szCs w:val="24"/>
        </w:rPr>
        <w:t>, a to za předpokladu, že tuto skutečnost nedoložil výpisem z obchodního rejstříku v případě, že není v obchodním rejstříku zapsán.</w:t>
      </w:r>
    </w:p>
    <w:p w14:paraId="17824CD9" w14:textId="77777777" w:rsidR="00F830EE" w:rsidRPr="00F830EE" w:rsidRDefault="00F830EE" w:rsidP="00F830EE">
      <w:pPr>
        <w:pStyle w:val="SML11"/>
        <w:rPr>
          <w:u w:val="single"/>
        </w:rPr>
      </w:pPr>
      <w:r w:rsidRPr="00F830EE">
        <w:rPr>
          <w:u w:val="single"/>
        </w:rPr>
        <w:t>Dle § 74 odst. 2 ZZVZ:</w:t>
      </w:r>
    </w:p>
    <w:p w14:paraId="7D29637B" w14:textId="59EBD8D9" w:rsidR="00F830EE" w:rsidRDefault="005D2B93" w:rsidP="00F830EE">
      <w:pPr>
        <w:ind w:left="851"/>
        <w:rPr>
          <w:sz w:val="24"/>
          <w:szCs w:val="24"/>
        </w:rPr>
      </w:pPr>
      <w:r>
        <w:rPr>
          <w:sz w:val="24"/>
          <w:szCs w:val="24"/>
        </w:rPr>
        <w:t>J</w:t>
      </w:r>
      <w:r w:rsidR="00F830EE" w:rsidRPr="00F830EE">
        <w:rPr>
          <w:sz w:val="24"/>
          <w:szCs w:val="24"/>
        </w:rPr>
        <w:t xml:space="preserve">e-li dodavatel právnickou osobou, </w:t>
      </w:r>
      <w:r>
        <w:rPr>
          <w:sz w:val="24"/>
          <w:szCs w:val="24"/>
        </w:rPr>
        <w:t xml:space="preserve">prohlašuje, že </w:t>
      </w:r>
      <w:r w:rsidR="00F830EE" w:rsidRPr="00F830EE">
        <w:rPr>
          <w:sz w:val="24"/>
          <w:szCs w:val="24"/>
        </w:rPr>
        <w:t>splňuje podmínku podle § 74 odst.</w:t>
      </w:r>
      <w:r>
        <w:rPr>
          <w:sz w:val="24"/>
          <w:szCs w:val="24"/>
        </w:rPr>
        <w:t> </w:t>
      </w:r>
      <w:r w:rsidR="00F830EE" w:rsidRPr="00F830EE">
        <w:rPr>
          <w:sz w:val="24"/>
          <w:szCs w:val="24"/>
        </w:rPr>
        <w:t>1 písm. a) ZZVZ tato právnická osoba a zároveň každý člen statutárního orgánu.</w:t>
      </w:r>
    </w:p>
    <w:p w14:paraId="1918B8A8" w14:textId="395FB4FC" w:rsidR="00F830EE" w:rsidRPr="00F830EE" w:rsidRDefault="00F830EE" w:rsidP="00F830EE">
      <w:pPr>
        <w:spacing w:before="120"/>
        <w:ind w:left="851"/>
        <w:rPr>
          <w:sz w:val="24"/>
          <w:szCs w:val="24"/>
        </w:rPr>
      </w:pPr>
      <w:r w:rsidRPr="055BEDBE">
        <w:rPr>
          <w:sz w:val="24"/>
          <w:szCs w:val="24"/>
        </w:rPr>
        <w:lastRenderedPageBreak/>
        <w:t xml:space="preserve">Je-li členem statutárního orgánu dodavatele právnická osoba, </w:t>
      </w:r>
      <w:r w:rsidR="005D2B93" w:rsidRPr="055BEDBE">
        <w:rPr>
          <w:sz w:val="24"/>
          <w:szCs w:val="24"/>
        </w:rPr>
        <w:t xml:space="preserve">dodavatel </w:t>
      </w:r>
      <w:r w:rsidR="12890866" w:rsidRPr="055BEDBE">
        <w:rPr>
          <w:sz w:val="24"/>
          <w:szCs w:val="24"/>
        </w:rPr>
        <w:t>prohlašuje</w:t>
      </w:r>
      <w:r w:rsidR="005D2B93" w:rsidRPr="055BEDBE">
        <w:rPr>
          <w:sz w:val="24"/>
          <w:szCs w:val="24"/>
        </w:rPr>
        <w:t xml:space="preserve">, že </w:t>
      </w:r>
      <w:r w:rsidRPr="055BEDBE">
        <w:rPr>
          <w:sz w:val="24"/>
          <w:szCs w:val="24"/>
        </w:rPr>
        <w:t xml:space="preserve">podmínku podle § 74 odst. 1 písm. a) ZZVZ </w:t>
      </w:r>
      <w:r w:rsidR="005D2B93" w:rsidRPr="055BEDBE">
        <w:rPr>
          <w:sz w:val="24"/>
          <w:szCs w:val="24"/>
        </w:rPr>
        <w:t>splňuje</w:t>
      </w:r>
    </w:p>
    <w:p w14:paraId="6470C791" w14:textId="60C25D9D" w:rsidR="00F830EE" w:rsidRPr="008543A2" w:rsidRDefault="00F830EE" w:rsidP="008543A2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A2">
        <w:rPr>
          <w:rFonts w:asciiTheme="minorHAnsi" w:hAnsiTheme="minorHAnsi" w:cstheme="minorHAnsi"/>
          <w:sz w:val="24"/>
          <w:szCs w:val="24"/>
        </w:rPr>
        <w:t>tato právnická osoba,</w:t>
      </w:r>
    </w:p>
    <w:p w14:paraId="55A4EAE7" w14:textId="3AC64712" w:rsidR="00F830EE" w:rsidRPr="008543A2" w:rsidRDefault="00F830EE" w:rsidP="008543A2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A2">
        <w:rPr>
          <w:rFonts w:asciiTheme="minorHAnsi" w:hAnsiTheme="minorHAnsi" w:cstheme="minorHAnsi"/>
          <w:sz w:val="24"/>
          <w:szCs w:val="24"/>
        </w:rPr>
        <w:t>každý člen statutárního orgánu této právnické osoby a</w:t>
      </w:r>
    </w:p>
    <w:p w14:paraId="1E1DD4AC" w14:textId="3D4EF0AE" w:rsidR="00F830EE" w:rsidRPr="008543A2" w:rsidRDefault="00F830EE" w:rsidP="008543A2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sz w:val="24"/>
          <w:szCs w:val="24"/>
        </w:rPr>
      </w:pPr>
      <w:r w:rsidRPr="008543A2">
        <w:rPr>
          <w:rFonts w:asciiTheme="minorHAnsi" w:hAnsiTheme="minorHAnsi" w:cstheme="minorHAnsi"/>
          <w:sz w:val="24"/>
          <w:szCs w:val="24"/>
        </w:rPr>
        <w:t>osoba zastupující tuto právnickou osobu ve statutárním orgánu dodavatele.</w:t>
      </w:r>
    </w:p>
    <w:p w14:paraId="6FA1258A" w14:textId="77777777" w:rsidR="00FC446E" w:rsidRPr="00FC446E" w:rsidRDefault="00FC446E" w:rsidP="00FC446E">
      <w:pPr>
        <w:pStyle w:val="SML11"/>
        <w:rPr>
          <w:u w:val="single"/>
        </w:rPr>
      </w:pPr>
      <w:r w:rsidRPr="00FC446E">
        <w:rPr>
          <w:u w:val="single"/>
        </w:rPr>
        <w:t>Dle § 74 odst. 3 ZZVZ:</w:t>
      </w:r>
    </w:p>
    <w:p w14:paraId="142A15AC" w14:textId="51FA2ABE" w:rsidR="00FC446E" w:rsidRPr="00FC446E" w:rsidRDefault="005D2B93" w:rsidP="00FC446E">
      <w:pPr>
        <w:ind w:left="851"/>
        <w:rPr>
          <w:sz w:val="24"/>
          <w:szCs w:val="24"/>
        </w:rPr>
      </w:pPr>
      <w:r>
        <w:rPr>
          <w:sz w:val="24"/>
          <w:szCs w:val="24"/>
        </w:rPr>
        <w:t>J</w:t>
      </w:r>
      <w:r w:rsidR="00FC446E" w:rsidRPr="00FC446E">
        <w:rPr>
          <w:sz w:val="24"/>
          <w:szCs w:val="24"/>
        </w:rPr>
        <w:t>e-li dodavatelem pobočka závodu</w:t>
      </w:r>
      <w:r w:rsidR="00FC446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FC446E" w:rsidRPr="00FC446E">
        <w:rPr>
          <w:sz w:val="24"/>
          <w:szCs w:val="24"/>
        </w:rPr>
        <w:t xml:space="preserve"> zahraniční právnické osoby, </w:t>
      </w:r>
      <w:r>
        <w:rPr>
          <w:sz w:val="24"/>
          <w:szCs w:val="24"/>
        </w:rPr>
        <w:t xml:space="preserve">dodavatel prohlašuje, že </w:t>
      </w:r>
      <w:r w:rsidR="00FC446E" w:rsidRPr="00FC446E">
        <w:rPr>
          <w:sz w:val="24"/>
          <w:szCs w:val="24"/>
        </w:rPr>
        <w:t>splňuje podmínku §</w:t>
      </w:r>
      <w:r w:rsidR="00FC446E">
        <w:rPr>
          <w:sz w:val="24"/>
          <w:szCs w:val="24"/>
        </w:rPr>
        <w:t> </w:t>
      </w:r>
      <w:r w:rsidR="00FC446E" w:rsidRPr="00FC446E">
        <w:rPr>
          <w:sz w:val="24"/>
          <w:szCs w:val="24"/>
        </w:rPr>
        <w:t>74 odst. 1 písm. a) ZZVZ tato právnická osoba a</w:t>
      </w:r>
      <w:r>
        <w:rPr>
          <w:sz w:val="24"/>
          <w:szCs w:val="24"/>
        </w:rPr>
        <w:t> </w:t>
      </w:r>
      <w:r w:rsidR="00FC446E" w:rsidRPr="00FC446E">
        <w:rPr>
          <w:sz w:val="24"/>
          <w:szCs w:val="24"/>
        </w:rPr>
        <w:t xml:space="preserve">vedoucí pobočky závodu. </w:t>
      </w:r>
    </w:p>
    <w:p w14:paraId="2D8E28C0" w14:textId="77777777" w:rsidR="00FC446E" w:rsidRPr="00FC446E" w:rsidRDefault="00FC446E" w:rsidP="00FC446E">
      <w:pPr>
        <w:ind w:left="851"/>
        <w:rPr>
          <w:sz w:val="24"/>
          <w:szCs w:val="24"/>
        </w:rPr>
      </w:pPr>
    </w:p>
    <w:p w14:paraId="01A386DA" w14:textId="2870403D" w:rsidR="00FC446E" w:rsidRDefault="00FC446E" w:rsidP="00FC446E">
      <w:pPr>
        <w:ind w:left="851"/>
        <w:rPr>
          <w:sz w:val="24"/>
          <w:szCs w:val="24"/>
        </w:rPr>
      </w:pPr>
      <w:r w:rsidRPr="00FC446E">
        <w:rPr>
          <w:sz w:val="24"/>
          <w:szCs w:val="24"/>
        </w:rPr>
        <w:t xml:space="preserve">Je-li dodavatelem pobočka závodu české právnické osoby, </w:t>
      </w:r>
      <w:r w:rsidR="005D2B93">
        <w:rPr>
          <w:sz w:val="24"/>
          <w:szCs w:val="24"/>
        </w:rPr>
        <w:t>dodavatel prohlašuje, že </w:t>
      </w:r>
      <w:r w:rsidR="005D2B93" w:rsidRPr="00FC446E">
        <w:rPr>
          <w:sz w:val="24"/>
          <w:szCs w:val="24"/>
        </w:rPr>
        <w:t xml:space="preserve">splňuje </w:t>
      </w:r>
      <w:r w:rsidRPr="00FC446E">
        <w:rPr>
          <w:sz w:val="24"/>
          <w:szCs w:val="24"/>
        </w:rPr>
        <w:t>podmínku § 74 odst. 1 písm. a) ZZVZ tato právnická osoba a vedoucí pobočky závodu. Za právnickou osobu, jejíž pobočka závodu podává nabídku ve</w:t>
      </w:r>
      <w:r w:rsidR="005D2B93">
        <w:rPr>
          <w:sz w:val="24"/>
          <w:szCs w:val="24"/>
        </w:rPr>
        <w:t> </w:t>
      </w:r>
      <w:r w:rsidRPr="00FC446E">
        <w:rPr>
          <w:sz w:val="24"/>
          <w:szCs w:val="24"/>
        </w:rPr>
        <w:t>veřejné zakázce, splňují podmínky kromě této právnické osoby též všechny osoby uvedené v § 74 odst. 2 ZZVZ.</w:t>
      </w:r>
    </w:p>
    <w:p w14:paraId="4CAD37A4" w14:textId="590398B3" w:rsidR="00FC446E" w:rsidRDefault="00FC446E" w:rsidP="00FC446E">
      <w:pPr>
        <w:pStyle w:val="SML1"/>
      </w:pPr>
      <w:r>
        <w:t>Profesní způsobilost</w:t>
      </w:r>
    </w:p>
    <w:p w14:paraId="02629668" w14:textId="72BDE1E9" w:rsidR="005D2B93" w:rsidRPr="00BC0694" w:rsidRDefault="005D2B93" w:rsidP="005D2B93">
      <w:pPr>
        <w:pStyle w:val="SML11"/>
        <w:rPr>
          <w:u w:val="single"/>
        </w:rPr>
      </w:pPr>
      <w:r w:rsidRPr="00BC0694">
        <w:rPr>
          <w:u w:val="single"/>
        </w:rPr>
        <w:t xml:space="preserve">Dle § </w:t>
      </w:r>
      <w:r>
        <w:rPr>
          <w:u w:val="single"/>
        </w:rPr>
        <w:t>77 odst. 1</w:t>
      </w:r>
      <w:r w:rsidRPr="00BC0694">
        <w:rPr>
          <w:u w:val="single"/>
        </w:rPr>
        <w:t xml:space="preserve"> ZZVZ</w:t>
      </w:r>
      <w:r>
        <w:rPr>
          <w:u w:val="single"/>
        </w:rPr>
        <w:t>:</w:t>
      </w:r>
    </w:p>
    <w:p w14:paraId="53825845" w14:textId="64622B2E" w:rsidR="00FC446E" w:rsidRDefault="005D2B93" w:rsidP="00FC446E">
      <w:pPr>
        <w:pStyle w:val="SML11"/>
        <w:numPr>
          <w:ilvl w:val="0"/>
          <w:numId w:val="0"/>
        </w:numPr>
        <w:ind w:left="851"/>
      </w:pPr>
      <w:r>
        <w:t>Dodavatel prohlašuje, že splňuje</w:t>
      </w:r>
      <w:r w:rsidR="00FC446E" w:rsidRPr="00FC446E">
        <w:t xml:space="preserve"> profesní způsobilost ve vztahu k České republice, a</w:t>
      </w:r>
      <w:r>
        <w:t> </w:t>
      </w:r>
      <w:r w:rsidR="00FC446E" w:rsidRPr="00FC446E">
        <w:t>to tak, že</w:t>
      </w:r>
      <w:r>
        <w:t> </w:t>
      </w:r>
      <w:r w:rsidR="00FC446E" w:rsidRPr="00FC446E">
        <w:t>je</w:t>
      </w:r>
      <w:r>
        <w:t> </w:t>
      </w:r>
      <w:r w:rsidR="00FC446E" w:rsidRPr="00FC446E">
        <w:t>schopen předložit výpis z obchodního rejstříku nebo jiné obdobné evidence, pokud jiný právní předpis zápis do takové evidence vyžaduje.</w:t>
      </w:r>
    </w:p>
    <w:p w14:paraId="562B7A63" w14:textId="10BCC033" w:rsidR="005D2B93" w:rsidRPr="00BC0694" w:rsidRDefault="005D2B93" w:rsidP="005D2B93">
      <w:pPr>
        <w:pStyle w:val="SML11"/>
        <w:rPr>
          <w:u w:val="single"/>
        </w:rPr>
      </w:pPr>
      <w:r w:rsidRPr="00BC0694">
        <w:rPr>
          <w:u w:val="single"/>
        </w:rPr>
        <w:t xml:space="preserve">Dle § </w:t>
      </w:r>
      <w:r>
        <w:rPr>
          <w:u w:val="single"/>
        </w:rPr>
        <w:t>77 odst. 2 písm. a)</w:t>
      </w:r>
      <w:r w:rsidRPr="00BC0694">
        <w:rPr>
          <w:u w:val="single"/>
        </w:rPr>
        <w:t xml:space="preserve"> ZZVZ</w:t>
      </w:r>
      <w:r>
        <w:rPr>
          <w:u w:val="single"/>
        </w:rPr>
        <w:t>:</w:t>
      </w:r>
    </w:p>
    <w:p w14:paraId="0F131CF7" w14:textId="5F3E37EF" w:rsidR="005D2B93" w:rsidRDefault="005D2B93" w:rsidP="005D2B93">
      <w:pPr>
        <w:pStyle w:val="SML111"/>
        <w:numPr>
          <w:ilvl w:val="0"/>
          <w:numId w:val="0"/>
        </w:numPr>
        <w:ind w:left="851"/>
      </w:pPr>
      <w:r>
        <w:t xml:space="preserve">Dodavatel prohlašuje, že je oprávněn </w:t>
      </w:r>
      <w:r w:rsidRPr="008E6A36">
        <w:t>k podnikání v</w:t>
      </w:r>
      <w:r>
        <w:t> </w:t>
      </w:r>
      <w:r w:rsidRPr="008E6A36">
        <w:t xml:space="preserve">rozsahu odpovídajícímu předmětu veřejné zakázky, pokud jiné právní předpisy takové oprávnění vyžadují. </w:t>
      </w:r>
    </w:p>
    <w:p w14:paraId="5D03064C" w14:textId="5156EEC7" w:rsidR="005D2B93" w:rsidRDefault="005D2B93" w:rsidP="005D2B93">
      <w:pPr>
        <w:pStyle w:val="SML111"/>
        <w:numPr>
          <w:ilvl w:val="0"/>
          <w:numId w:val="0"/>
        </w:numPr>
        <w:ind w:left="851"/>
      </w:pPr>
      <w:r>
        <w:t>Za tímto účelem je </w:t>
      </w:r>
      <w:r>
        <w:rPr>
          <w:bCs w:val="0"/>
        </w:rPr>
        <w:t>do</w:t>
      </w:r>
      <w:r w:rsidRPr="008E6A36">
        <w:rPr>
          <w:bCs w:val="0"/>
        </w:rPr>
        <w:t xml:space="preserve">davatel </w:t>
      </w:r>
      <w:r>
        <w:rPr>
          <w:bCs w:val="0"/>
        </w:rPr>
        <w:t>schopen předložit</w:t>
      </w:r>
      <w:r w:rsidRPr="008E6A36">
        <w:rPr>
          <w:bCs w:val="0"/>
        </w:rPr>
        <w:t xml:space="preserve"> živnostenské oprávnění minimálně pro: </w:t>
      </w:r>
      <w:r w:rsidRPr="008E6A36">
        <w:rPr>
          <w:b/>
        </w:rPr>
        <w:t>Provádění staveb, jejich změn a</w:t>
      </w:r>
      <w:r>
        <w:rPr>
          <w:b/>
        </w:rPr>
        <w:t> </w:t>
      </w:r>
      <w:r w:rsidRPr="008E6A36">
        <w:rPr>
          <w:b/>
        </w:rPr>
        <w:t>odstraňování</w:t>
      </w:r>
      <w:r w:rsidRPr="00FC446E">
        <w:t>.</w:t>
      </w:r>
    </w:p>
    <w:p w14:paraId="009DF9B4" w14:textId="07FE0424" w:rsidR="005D2B93" w:rsidRPr="00BC0694" w:rsidRDefault="005D2B93" w:rsidP="005D2B93">
      <w:pPr>
        <w:pStyle w:val="SML11"/>
        <w:rPr>
          <w:u w:val="single"/>
        </w:rPr>
      </w:pPr>
      <w:r w:rsidRPr="00BC0694">
        <w:rPr>
          <w:u w:val="single"/>
        </w:rPr>
        <w:t xml:space="preserve">Dle § </w:t>
      </w:r>
      <w:r>
        <w:rPr>
          <w:u w:val="single"/>
        </w:rPr>
        <w:t>77 odst. 2 písm. c)</w:t>
      </w:r>
      <w:r w:rsidRPr="00BC0694">
        <w:rPr>
          <w:u w:val="single"/>
        </w:rPr>
        <w:t xml:space="preserve"> ZZVZ</w:t>
      </w:r>
      <w:r>
        <w:rPr>
          <w:u w:val="single"/>
        </w:rPr>
        <w:t>:</w:t>
      </w:r>
    </w:p>
    <w:p w14:paraId="478131FA" w14:textId="779D98BC" w:rsidR="005D2B93" w:rsidRDefault="005D2B93" w:rsidP="005D2B93">
      <w:pPr>
        <w:pStyle w:val="SML111"/>
        <w:numPr>
          <w:ilvl w:val="0"/>
          <w:numId w:val="0"/>
        </w:numPr>
        <w:ind w:left="851"/>
        <w:rPr>
          <w:bCs w:val="0"/>
        </w:rPr>
      </w:pPr>
      <w:r>
        <w:t xml:space="preserve">Dodavatel prohlašuje, že je </w:t>
      </w:r>
      <w:r w:rsidRPr="008E6A36">
        <w:rPr>
          <w:bCs w:val="0"/>
        </w:rPr>
        <w:t>odborně způsobilý nebo disponuje osobou, jejímž prostřednictvím odbornou způsobilost zabezpečuje, je-li pro plnění veřejné zakázky odborná způsobilost jinými právními předpisy vyžadována</w:t>
      </w:r>
      <w:r>
        <w:rPr>
          <w:bCs w:val="0"/>
        </w:rPr>
        <w:t>.</w:t>
      </w:r>
    </w:p>
    <w:p w14:paraId="3470E91D" w14:textId="1A8723A1" w:rsidR="005D2B93" w:rsidRDefault="005D2B93" w:rsidP="005D2B93">
      <w:pPr>
        <w:pStyle w:val="SML111"/>
        <w:numPr>
          <w:ilvl w:val="0"/>
          <w:numId w:val="0"/>
        </w:numPr>
        <w:ind w:left="851"/>
        <w:rPr>
          <w:bCs w:val="0"/>
        </w:rPr>
      </w:pPr>
      <w:r>
        <w:rPr>
          <w:bCs w:val="0"/>
        </w:rPr>
        <w:t>Za tímto účelem je dodavatel schopen předložit:</w:t>
      </w:r>
    </w:p>
    <w:p w14:paraId="6B9E6361" w14:textId="6C660E28" w:rsidR="005D2B93" w:rsidRDefault="005D2B93" w:rsidP="005D2B93">
      <w:pPr>
        <w:pStyle w:val="SML11"/>
        <w:numPr>
          <w:ilvl w:val="0"/>
          <w:numId w:val="10"/>
        </w:numPr>
        <w:tabs>
          <w:tab w:val="num" w:pos="360"/>
        </w:tabs>
        <w:ind w:left="1418" w:hanging="567"/>
      </w:pPr>
      <w:r w:rsidRPr="00E87277">
        <w:rPr>
          <w:b/>
          <w:bCs w:val="0"/>
        </w:rPr>
        <w:t>doklad o autorizaci (ve stupni autorizovaný inženýr nebo autorizovaný technik) v oboru pozemní stavby</w:t>
      </w:r>
      <w:r>
        <w:t xml:space="preserve">, vydaný Českou komorou autorizovaných inženýrů a techniků činných </w:t>
      </w:r>
      <w:r w:rsidRPr="00E87277">
        <w:t>ve výstavbě podle zákona č. 360/1992 Sb., o</w:t>
      </w:r>
      <w:r>
        <w:t> </w:t>
      </w:r>
      <w:r w:rsidRPr="00E87277">
        <w:t>výkonu povolání autorizovaných architektů</w:t>
      </w:r>
      <w:r>
        <w:t xml:space="preserve"> </w:t>
      </w:r>
      <w:r w:rsidRPr="00E87277">
        <w:t>a o výkonu povolání autorizovaných inženýrů a techniků činných ve</w:t>
      </w:r>
      <w:r>
        <w:t> </w:t>
      </w:r>
      <w:r w:rsidRPr="00E87277">
        <w:t>výstavbě</w:t>
      </w:r>
      <w:r>
        <w:t>,</w:t>
      </w:r>
      <w:r w:rsidRPr="00E87277">
        <w:t xml:space="preserve"> </w:t>
      </w:r>
      <w:r>
        <w:t>ve znění pozdějších předpisů;</w:t>
      </w:r>
    </w:p>
    <w:p w14:paraId="36577294" w14:textId="77777777" w:rsidR="005D2B93" w:rsidRPr="008E6A36" w:rsidRDefault="005D2B93" w:rsidP="005D2B93">
      <w:pPr>
        <w:pStyle w:val="SML11"/>
        <w:numPr>
          <w:ilvl w:val="0"/>
          <w:numId w:val="10"/>
        </w:numPr>
        <w:tabs>
          <w:tab w:val="num" w:pos="360"/>
        </w:tabs>
        <w:ind w:left="1418" w:hanging="567"/>
      </w:pPr>
      <w:r w:rsidRPr="00E87277">
        <w:rPr>
          <w:b/>
          <w:bCs w:val="0"/>
        </w:rPr>
        <w:t>osvědčení o odborné způsobilosti k provádění revizí UTZ v provozu</w:t>
      </w:r>
      <w:r w:rsidRPr="008E6A36">
        <w:t xml:space="preserve"> podle § 48 zákona č. 266/1994 Sb., o drahách, ve znění pozdějších předpisů a vyhlášky Ministerstva dopravy č. 16/2012 Sb., o odborné způsobilosti osob řídících </w:t>
      </w:r>
      <w:r w:rsidRPr="008E6A36">
        <w:lastRenderedPageBreak/>
        <w:t>drážní vozidlo a osob provádějících revize, prohlídky a zkoušky určených technických zařízení, ve znění pozdějších předpisů;</w:t>
      </w:r>
    </w:p>
    <w:p w14:paraId="123487E9" w14:textId="77777777" w:rsidR="005D2B93" w:rsidRDefault="005D2B93" w:rsidP="005D2B93">
      <w:pPr>
        <w:pStyle w:val="SML11"/>
        <w:numPr>
          <w:ilvl w:val="0"/>
          <w:numId w:val="10"/>
        </w:numPr>
        <w:tabs>
          <w:tab w:val="num" w:pos="360"/>
        </w:tabs>
        <w:ind w:left="1418" w:hanging="567"/>
      </w:pPr>
      <w:r w:rsidRPr="00E87277">
        <w:rPr>
          <w:b/>
          <w:bCs w:val="0"/>
        </w:rPr>
        <w:t>doklad osvědčující odbornou způsobilost</w:t>
      </w:r>
      <w:r w:rsidRPr="008E6A36">
        <w:t xml:space="preserve"> </w:t>
      </w:r>
      <w:r w:rsidRPr="00E87277">
        <w:rPr>
          <w:b/>
          <w:bCs w:val="0"/>
        </w:rPr>
        <w:t>vedoucího elektrotechnika</w:t>
      </w:r>
      <w:r w:rsidRPr="008E6A36">
        <w:t xml:space="preserve"> dle § </w:t>
      </w:r>
      <w:r>
        <w:t>7 nařízení vlády č. 194/2022</w:t>
      </w:r>
      <w:r w:rsidRPr="008E6A36">
        <w:t xml:space="preserve"> Sb., </w:t>
      </w:r>
      <w:r w:rsidRPr="00E87277">
        <w:t>požadavcích na odbornou způsobilost k výkonu činnosti na elektrických zařízeních a</w:t>
      </w:r>
      <w:r>
        <w:t> </w:t>
      </w:r>
      <w:r w:rsidRPr="00E87277">
        <w:t>na</w:t>
      </w:r>
      <w:r>
        <w:t> </w:t>
      </w:r>
      <w:r w:rsidRPr="00E87277">
        <w:t>odbornou způsobilost v</w:t>
      </w:r>
      <w:r>
        <w:t> </w:t>
      </w:r>
      <w:r w:rsidRPr="00E87277">
        <w:t>elektrotechnice</w:t>
      </w:r>
      <w:r w:rsidRPr="008E6A36">
        <w:t>, ve znění pozdějších předpisů;</w:t>
      </w:r>
    </w:p>
    <w:p w14:paraId="242F3EE8" w14:textId="3BFDC9D3" w:rsidR="005D2B93" w:rsidRPr="00FC446E" w:rsidRDefault="005D2B93" w:rsidP="005D2B93">
      <w:pPr>
        <w:pStyle w:val="SML11"/>
        <w:numPr>
          <w:ilvl w:val="0"/>
          <w:numId w:val="10"/>
        </w:numPr>
        <w:tabs>
          <w:tab w:val="num" w:pos="360"/>
        </w:tabs>
        <w:ind w:left="1418" w:hanging="567"/>
      </w:pPr>
      <w:r w:rsidRPr="005D2B93">
        <w:rPr>
          <w:b/>
          <w:bCs w:val="0"/>
        </w:rPr>
        <w:t>doklad osvědčující odbornou způsobilost dle přílohy č. 4 bodu 8. písm. a) a b) vyhlášky č. 100/1995 Sb., řád určených technických zařízení</w:t>
      </w:r>
      <w:r w:rsidRPr="008E6A36">
        <w:t>, ve znění pozdějších předpisů, pro</w:t>
      </w:r>
      <w:r>
        <w:t> </w:t>
      </w:r>
      <w:r w:rsidRPr="008E6A36">
        <w:t>zařízení na dráze trolejbusové dle § 1 odst. 4 písm. a</w:t>
      </w:r>
      <w:r>
        <w:t>)</w:t>
      </w:r>
      <w:r w:rsidRPr="008E6A36">
        <w:t>, b</w:t>
      </w:r>
      <w:r>
        <w:t>)</w:t>
      </w:r>
      <w:r w:rsidRPr="008E6A36">
        <w:t>, c</w:t>
      </w:r>
      <w:r>
        <w:t>)</w:t>
      </w:r>
      <w:r w:rsidRPr="008E6A36">
        <w:t>, d</w:t>
      </w:r>
      <w:r>
        <w:t>)</w:t>
      </w:r>
      <w:r w:rsidRPr="008E6A36">
        <w:t>, e</w:t>
      </w:r>
      <w:r>
        <w:t>)</w:t>
      </w:r>
      <w:r w:rsidRPr="008E6A36">
        <w:t xml:space="preserve"> vyhlášky č.</w:t>
      </w:r>
      <w:r>
        <w:t> </w:t>
      </w:r>
      <w:r w:rsidRPr="008E6A36">
        <w:t xml:space="preserve">100/1995 Sb., </w:t>
      </w:r>
      <w:r>
        <w:t>ř</w:t>
      </w:r>
      <w:r w:rsidRPr="008E6A36">
        <w:t>ád určených technických zařízení, ve</w:t>
      </w:r>
      <w:r>
        <w:t> </w:t>
      </w:r>
      <w:r w:rsidRPr="008E6A36">
        <w:t>znění pozdějších předpisů.</w:t>
      </w:r>
    </w:p>
    <w:p w14:paraId="0A7264A4" w14:textId="17E2DD31" w:rsidR="005E4012" w:rsidRPr="00D373B9" w:rsidRDefault="005E4012" w:rsidP="00CB3A23">
      <w:pPr>
        <w:pStyle w:val="SML1"/>
        <w:rPr>
          <w:rStyle w:val="Siln"/>
          <w:b/>
          <w:bCs/>
        </w:rPr>
      </w:pPr>
      <w:r w:rsidRPr="00D373B9">
        <w:rPr>
          <w:rStyle w:val="Siln"/>
          <w:b/>
          <w:bCs/>
        </w:rPr>
        <w:t>Technická kvalifikace</w:t>
      </w:r>
    </w:p>
    <w:p w14:paraId="488E0870" w14:textId="38B59EF5" w:rsidR="000107AD" w:rsidRPr="00D373B9" w:rsidRDefault="000107AD" w:rsidP="00CB3A23">
      <w:pPr>
        <w:pStyle w:val="SML11"/>
        <w:keepNext/>
        <w:keepLines/>
        <w:rPr>
          <w:u w:val="single"/>
        </w:rPr>
      </w:pPr>
      <w:r w:rsidRPr="00D373B9">
        <w:rPr>
          <w:u w:val="single"/>
        </w:rPr>
        <w:t xml:space="preserve">Dle § 79 odst. 2 písm. </w:t>
      </w:r>
      <w:r w:rsidR="005D2B93">
        <w:rPr>
          <w:u w:val="single"/>
        </w:rPr>
        <w:t>a</w:t>
      </w:r>
      <w:r w:rsidRPr="00D373B9">
        <w:rPr>
          <w:u w:val="single"/>
        </w:rPr>
        <w:t>) ZZVZ</w:t>
      </w:r>
      <w:r w:rsidR="005D2B93">
        <w:rPr>
          <w:u w:val="single"/>
        </w:rPr>
        <w:t>:</w:t>
      </w:r>
    </w:p>
    <w:p w14:paraId="399BCC12" w14:textId="504FFE32" w:rsidR="009323E5" w:rsidRDefault="005D2B93" w:rsidP="00CB3A23">
      <w:pPr>
        <w:keepNext/>
        <w:keepLines/>
        <w:spacing w:before="120" w:after="120"/>
        <w:ind w:left="851"/>
        <w:rPr>
          <w:sz w:val="24"/>
          <w:szCs w:val="24"/>
        </w:rPr>
      </w:pPr>
      <w:r w:rsidRPr="005D2B93">
        <w:rPr>
          <w:sz w:val="24"/>
          <w:szCs w:val="24"/>
        </w:rPr>
        <w:t xml:space="preserve">Dodavatel prohlašuje, že </w:t>
      </w:r>
      <w:r>
        <w:rPr>
          <w:sz w:val="24"/>
          <w:szCs w:val="24"/>
        </w:rPr>
        <w:t xml:space="preserve">splňuje </w:t>
      </w:r>
      <w:r w:rsidR="000107AD" w:rsidRPr="00AF70C2">
        <w:rPr>
          <w:sz w:val="24"/>
          <w:szCs w:val="24"/>
        </w:rPr>
        <w:t>technickou kvalifikaci</w:t>
      </w:r>
      <w:r w:rsidR="000107AD">
        <w:rPr>
          <w:sz w:val="24"/>
          <w:szCs w:val="24"/>
        </w:rPr>
        <w:t xml:space="preserve"> a </w:t>
      </w:r>
      <w:r w:rsidR="000107AD" w:rsidRPr="000107AD">
        <w:rPr>
          <w:sz w:val="24"/>
          <w:szCs w:val="24"/>
        </w:rPr>
        <w:t xml:space="preserve">má zkušenost </w:t>
      </w:r>
      <w:r w:rsidR="00810CBE">
        <w:rPr>
          <w:sz w:val="24"/>
          <w:szCs w:val="24"/>
        </w:rPr>
        <w:t xml:space="preserve">s poskytnutím </w:t>
      </w:r>
      <w:r>
        <w:rPr>
          <w:sz w:val="24"/>
          <w:szCs w:val="24"/>
        </w:rPr>
        <w:t>stavebních prací v níže uvedeném rozsahu (dále jen „</w:t>
      </w:r>
      <w:r w:rsidRPr="005D2B93">
        <w:rPr>
          <w:b/>
          <w:bCs/>
          <w:sz w:val="24"/>
          <w:szCs w:val="24"/>
        </w:rPr>
        <w:t>referenční zakázky</w:t>
      </w:r>
      <w:r>
        <w:rPr>
          <w:sz w:val="24"/>
          <w:szCs w:val="24"/>
        </w:rPr>
        <w:t>“)</w:t>
      </w:r>
      <w:r w:rsidR="00914D5F">
        <w:rPr>
          <w:sz w:val="24"/>
          <w:szCs w:val="24"/>
        </w:rPr>
        <w:t>:</w:t>
      </w:r>
    </w:p>
    <w:p w14:paraId="3B620961" w14:textId="2DC7AE4B" w:rsidR="00514E32" w:rsidRPr="005D2B93" w:rsidRDefault="005D2B93" w:rsidP="00CB3A23">
      <w:pPr>
        <w:pStyle w:val="Odstavecseseznamem"/>
        <w:keepNext/>
        <w:keepLines/>
        <w:numPr>
          <w:ilvl w:val="0"/>
          <w:numId w:val="2"/>
        </w:numPr>
        <w:spacing w:before="120" w:after="120"/>
        <w:ind w:left="1276" w:hanging="425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D2B93">
        <w:rPr>
          <w:rFonts w:asciiTheme="minorHAnsi" w:hAnsiTheme="minorHAnsi" w:cstheme="minorHAnsi"/>
          <w:b/>
          <w:sz w:val="24"/>
          <w:szCs w:val="24"/>
        </w:rPr>
        <w:t xml:space="preserve">alespoň </w:t>
      </w:r>
      <w:r>
        <w:rPr>
          <w:rFonts w:asciiTheme="minorHAnsi" w:hAnsiTheme="minorHAnsi" w:cstheme="minorHAnsi"/>
          <w:b/>
          <w:sz w:val="24"/>
          <w:szCs w:val="24"/>
        </w:rPr>
        <w:t>dvě referenční zakázky</w:t>
      </w:r>
      <w:r w:rsidRPr="005D2B93">
        <w:rPr>
          <w:rFonts w:asciiTheme="minorHAnsi" w:hAnsiTheme="minorHAnsi" w:cstheme="minorHAnsi"/>
          <w:b/>
          <w:sz w:val="24"/>
          <w:szCs w:val="24"/>
        </w:rPr>
        <w:t>, jejichž předmětem byla výstavba či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5D2B93">
        <w:rPr>
          <w:rFonts w:asciiTheme="minorHAnsi" w:hAnsiTheme="minorHAnsi" w:cstheme="minorHAnsi"/>
          <w:b/>
          <w:sz w:val="24"/>
          <w:szCs w:val="24"/>
        </w:rPr>
        <w:t>rekonstrukce měnírny elektrické energie (vč. technologie) sloužící pro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5D2B93">
        <w:rPr>
          <w:rFonts w:asciiTheme="minorHAnsi" w:hAnsiTheme="minorHAnsi" w:cstheme="minorHAnsi"/>
          <w:b/>
          <w:sz w:val="24"/>
          <w:szCs w:val="24"/>
        </w:rPr>
        <w:t>napájení trakční sítě drážní dopravy</w:t>
      </w:r>
      <w:r w:rsidR="00AB62B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D2B93">
        <w:rPr>
          <w:rFonts w:asciiTheme="minorHAnsi" w:hAnsiTheme="minorHAnsi" w:cstheme="minorHAnsi"/>
          <w:b/>
          <w:sz w:val="24"/>
          <w:szCs w:val="24"/>
        </w:rPr>
        <w:t>v minimální finančním rozsahu 10.000.000 Kč bez DPH za každou jednotlivou referenční zakázku.</w:t>
      </w:r>
    </w:p>
    <w:p w14:paraId="7BAC3B44" w14:textId="01B2FA66" w:rsidR="000873A3" w:rsidRPr="000873A3" w:rsidRDefault="008B7A98" w:rsidP="00D373B9">
      <w:pPr>
        <w:spacing w:before="120" w:after="120"/>
        <w:ind w:left="851"/>
        <w:rPr>
          <w:sz w:val="24"/>
          <w:szCs w:val="24"/>
        </w:rPr>
      </w:pPr>
      <w:r>
        <w:rPr>
          <w:sz w:val="24"/>
          <w:szCs w:val="24"/>
        </w:rPr>
        <w:t>Zároveň byly t</w:t>
      </w:r>
      <w:r w:rsidR="000873A3" w:rsidRPr="000873A3">
        <w:rPr>
          <w:sz w:val="24"/>
          <w:szCs w:val="24"/>
        </w:rPr>
        <w:t xml:space="preserve">yto </w:t>
      </w:r>
      <w:r w:rsidR="00AB62BF">
        <w:rPr>
          <w:sz w:val="24"/>
          <w:szCs w:val="24"/>
        </w:rPr>
        <w:t>referenční zakázky</w:t>
      </w:r>
      <w:r w:rsidR="000873A3" w:rsidRPr="000873A3">
        <w:rPr>
          <w:sz w:val="24"/>
          <w:szCs w:val="24"/>
        </w:rPr>
        <w:t xml:space="preserve"> dodavatelem poskytnuty za </w:t>
      </w:r>
      <w:r w:rsidR="00D373B9">
        <w:rPr>
          <w:sz w:val="24"/>
          <w:szCs w:val="24"/>
        </w:rPr>
        <w:t xml:space="preserve">poslední </w:t>
      </w:r>
      <w:r w:rsidR="00AB62BF">
        <w:rPr>
          <w:sz w:val="24"/>
          <w:szCs w:val="24"/>
        </w:rPr>
        <w:t>5 let</w:t>
      </w:r>
      <w:r w:rsidR="000873A3" w:rsidRPr="000873A3">
        <w:rPr>
          <w:sz w:val="24"/>
          <w:szCs w:val="24"/>
        </w:rPr>
        <w:t xml:space="preserve"> před</w:t>
      </w:r>
      <w:r w:rsidR="00514E32">
        <w:rPr>
          <w:sz w:val="24"/>
          <w:szCs w:val="24"/>
        </w:rPr>
        <w:t> </w:t>
      </w:r>
      <w:r w:rsidR="000873A3" w:rsidRPr="000873A3">
        <w:rPr>
          <w:sz w:val="24"/>
          <w:szCs w:val="24"/>
        </w:rPr>
        <w:t>zahájením zadávacího řízení.</w:t>
      </w:r>
    </w:p>
    <w:p w14:paraId="677A3A07" w14:textId="362236A7" w:rsidR="000107AD" w:rsidRPr="003A131C" w:rsidRDefault="000107AD" w:rsidP="00322449">
      <w:pPr>
        <w:spacing w:before="120" w:after="120"/>
        <w:ind w:left="851"/>
        <w:rPr>
          <w:sz w:val="24"/>
          <w:szCs w:val="24"/>
        </w:rPr>
      </w:pPr>
      <w:r w:rsidRPr="00322449">
        <w:rPr>
          <w:b/>
          <w:bCs/>
          <w:sz w:val="24"/>
          <w:szCs w:val="24"/>
        </w:rPr>
        <w:t>Referenční</w:t>
      </w:r>
      <w:r w:rsidRPr="00F34519">
        <w:rPr>
          <w:b/>
          <w:bCs/>
          <w:sz w:val="24"/>
          <w:szCs w:val="24"/>
        </w:rPr>
        <w:t xml:space="preserve"> </w:t>
      </w:r>
      <w:r w:rsidR="00AB62BF">
        <w:rPr>
          <w:b/>
          <w:bCs/>
          <w:sz w:val="24"/>
          <w:szCs w:val="24"/>
        </w:rPr>
        <w:t>zakázka</w:t>
      </w:r>
      <w:r w:rsidRPr="00F34519">
        <w:rPr>
          <w:b/>
          <w:bCs/>
          <w:sz w:val="24"/>
          <w:szCs w:val="24"/>
        </w:rPr>
        <w:t xml:space="preserve"> č. </w:t>
      </w:r>
      <w:r>
        <w:rPr>
          <w:b/>
          <w:bCs/>
          <w:sz w:val="24"/>
          <w:szCs w:val="24"/>
        </w:rPr>
        <w:t>XY</w:t>
      </w:r>
      <w:r>
        <w:rPr>
          <w:rStyle w:val="Znakapoznpodarou"/>
          <w:b/>
          <w:bCs/>
          <w:sz w:val="24"/>
          <w:szCs w:val="24"/>
        </w:rPr>
        <w:footnoteReference w:id="4"/>
      </w:r>
    </w:p>
    <w:tbl>
      <w:tblPr>
        <w:tblStyle w:val="Mkatabulky"/>
        <w:tblW w:w="8082" w:type="dxa"/>
        <w:tblInd w:w="988" w:type="dxa"/>
        <w:tblLook w:val="04A0" w:firstRow="1" w:lastRow="0" w:firstColumn="1" w:lastColumn="0" w:noHBand="0" w:noVBand="1"/>
      </w:tblPr>
      <w:tblGrid>
        <w:gridCol w:w="2551"/>
        <w:gridCol w:w="5531"/>
      </w:tblGrid>
      <w:tr w:rsidR="00AB62BF" w:rsidRPr="0083139F" w14:paraId="3CB879AE" w14:textId="77777777" w:rsidTr="00AB62BF">
        <w:trPr>
          <w:trHeight w:val="39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7111800" w14:textId="6E503AE2" w:rsidR="00AB62BF" w:rsidRPr="009B723B" w:rsidRDefault="00AB62BF" w:rsidP="00AB62BF">
            <w:pPr>
              <w:keepNext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N</w:t>
            </w:r>
            <w:r w:rsidRPr="00ED28D3">
              <w:rPr>
                <w:sz w:val="24"/>
                <w:szCs w:val="24"/>
              </w:rPr>
              <w:t xml:space="preserve">ázev či označení referenční </w:t>
            </w:r>
            <w:r>
              <w:rPr>
                <w:sz w:val="24"/>
                <w:szCs w:val="24"/>
              </w:rPr>
              <w:t>zakázky</w:t>
            </w:r>
          </w:p>
        </w:tc>
        <w:tc>
          <w:tcPr>
            <w:tcW w:w="5531" w:type="dxa"/>
            <w:vAlign w:val="center"/>
          </w:tcPr>
          <w:p w14:paraId="45D2A2B3" w14:textId="7D736C37" w:rsidR="00AB62BF" w:rsidRPr="00364C82" w:rsidRDefault="00AB62BF" w:rsidP="00AB62BF">
            <w:pPr>
              <w:jc w:val="center"/>
              <w:rPr>
                <w:sz w:val="24"/>
                <w:szCs w:val="24"/>
              </w:rPr>
            </w:pPr>
            <w:r w:rsidRPr="0023448D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AB62BF" w:rsidRPr="0083139F" w14:paraId="7BA82A3F" w14:textId="77777777" w:rsidTr="00AB62BF">
        <w:trPr>
          <w:trHeight w:val="39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C20DB16" w14:textId="405BE55B" w:rsidR="00AB62BF" w:rsidRPr="00AB62A6" w:rsidRDefault="00AB62BF" w:rsidP="00AB62BF">
            <w:pPr>
              <w:rPr>
                <w:sz w:val="24"/>
                <w:szCs w:val="24"/>
                <w:highlight w:val="yellow"/>
              </w:rPr>
            </w:pPr>
            <w:r w:rsidRPr="47FC5FC9">
              <w:rPr>
                <w:sz w:val="24"/>
                <w:szCs w:val="24"/>
              </w:rPr>
              <w:t>Popis</w:t>
            </w:r>
            <w:r w:rsidRPr="000E3894">
              <w:rPr>
                <w:sz w:val="24"/>
                <w:szCs w:val="24"/>
              </w:rPr>
              <w:t xml:space="preserve"> předmět</w:t>
            </w:r>
            <w:r>
              <w:rPr>
                <w:sz w:val="24"/>
                <w:szCs w:val="24"/>
              </w:rPr>
              <w:t>u</w:t>
            </w:r>
            <w:r w:rsidRPr="000E3894">
              <w:rPr>
                <w:sz w:val="24"/>
                <w:szCs w:val="24"/>
              </w:rPr>
              <w:t xml:space="preserve"> referenční </w:t>
            </w:r>
            <w:r>
              <w:rPr>
                <w:sz w:val="24"/>
                <w:szCs w:val="24"/>
              </w:rPr>
              <w:t>zakázky (z </w:t>
            </w:r>
            <w:r w:rsidRPr="000E3894">
              <w:rPr>
                <w:sz w:val="24"/>
                <w:szCs w:val="24"/>
              </w:rPr>
              <w:t xml:space="preserve">popisu musí být patrné, že referenční </w:t>
            </w:r>
            <w:r>
              <w:rPr>
                <w:sz w:val="24"/>
                <w:szCs w:val="24"/>
              </w:rPr>
              <w:t>zakázka</w:t>
            </w:r>
            <w:r w:rsidRPr="000E3894">
              <w:rPr>
                <w:sz w:val="24"/>
                <w:szCs w:val="24"/>
              </w:rPr>
              <w:t xml:space="preserve"> splňuje </w:t>
            </w:r>
            <w:r>
              <w:rPr>
                <w:sz w:val="24"/>
                <w:szCs w:val="24"/>
              </w:rPr>
              <w:t xml:space="preserve">výše uvedené </w:t>
            </w:r>
            <w:r w:rsidRPr="000E3894">
              <w:rPr>
                <w:sz w:val="24"/>
                <w:szCs w:val="24"/>
              </w:rPr>
              <w:t>požadavky zadavatele</w:t>
            </w:r>
            <w:r>
              <w:rPr>
                <w:sz w:val="24"/>
                <w:szCs w:val="24"/>
              </w:rPr>
              <w:t xml:space="preserve"> podle odst. 9.4. výzvy k podávání nabídek)</w:t>
            </w:r>
          </w:p>
        </w:tc>
        <w:tc>
          <w:tcPr>
            <w:tcW w:w="5531" w:type="dxa"/>
            <w:vAlign w:val="center"/>
          </w:tcPr>
          <w:p w14:paraId="63818A6C" w14:textId="6072B03D" w:rsidR="00AB62BF" w:rsidRPr="00995C07" w:rsidRDefault="00AB62BF" w:rsidP="00AB62BF">
            <w:pPr>
              <w:jc w:val="center"/>
              <w:rPr>
                <w:sz w:val="24"/>
                <w:szCs w:val="24"/>
                <w:highlight w:val="yellow"/>
              </w:rPr>
            </w:pPr>
            <w:r w:rsidRPr="0023448D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AB62BF" w:rsidRPr="0083139F" w14:paraId="628158AF" w14:textId="77777777" w:rsidTr="00AB62BF">
        <w:trPr>
          <w:trHeight w:val="39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D69AAFE" w14:textId="1DA507A8" w:rsidR="00AB62BF" w:rsidRPr="00E53930" w:rsidRDefault="00AB62BF" w:rsidP="00AB62BF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D</w:t>
            </w:r>
            <w:r w:rsidRPr="0087252E">
              <w:rPr>
                <w:sz w:val="24"/>
                <w:szCs w:val="24"/>
              </w:rPr>
              <w:t xml:space="preserve">oba realizace referenční </w:t>
            </w:r>
            <w:r>
              <w:rPr>
                <w:sz w:val="24"/>
                <w:szCs w:val="24"/>
              </w:rPr>
              <w:t>zakázky</w:t>
            </w:r>
          </w:p>
        </w:tc>
        <w:tc>
          <w:tcPr>
            <w:tcW w:w="5531" w:type="dxa"/>
            <w:vAlign w:val="center"/>
          </w:tcPr>
          <w:p w14:paraId="59D1D911" w14:textId="63454B31" w:rsidR="00AB62BF" w:rsidRPr="00995C07" w:rsidRDefault="00AB62BF" w:rsidP="00AB62BF">
            <w:pPr>
              <w:jc w:val="center"/>
              <w:rPr>
                <w:sz w:val="24"/>
                <w:szCs w:val="24"/>
                <w:highlight w:val="yellow"/>
              </w:rPr>
            </w:pPr>
            <w:r w:rsidRPr="00B32729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AB62BF" w:rsidRPr="0083139F" w14:paraId="272692FA" w14:textId="77777777" w:rsidTr="00AB62BF">
        <w:trPr>
          <w:trHeight w:val="39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73426EA" w14:textId="76D3F2F1" w:rsidR="00AB62BF" w:rsidRPr="00E53930" w:rsidRDefault="00AB62BF" w:rsidP="00AB62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</w:t>
            </w:r>
            <w:r w:rsidRPr="00CF25E5">
              <w:rPr>
                <w:sz w:val="24"/>
                <w:szCs w:val="24"/>
              </w:rPr>
              <w:t xml:space="preserve">nanční rozsah referenční </w:t>
            </w:r>
            <w:r>
              <w:rPr>
                <w:sz w:val="24"/>
                <w:szCs w:val="24"/>
              </w:rPr>
              <w:t>zakázky</w:t>
            </w:r>
          </w:p>
        </w:tc>
        <w:tc>
          <w:tcPr>
            <w:tcW w:w="5531" w:type="dxa"/>
            <w:vAlign w:val="center"/>
          </w:tcPr>
          <w:p w14:paraId="46C5A3B8" w14:textId="040021C8" w:rsidR="00AB62BF" w:rsidRPr="00995C07" w:rsidRDefault="00AB62BF" w:rsidP="00AB62BF">
            <w:pPr>
              <w:jc w:val="center"/>
              <w:rPr>
                <w:sz w:val="24"/>
                <w:szCs w:val="24"/>
                <w:highlight w:val="yellow"/>
              </w:rPr>
            </w:pPr>
            <w:r w:rsidRPr="00B32729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AB62BF" w:rsidRPr="0083139F" w14:paraId="079248CE" w14:textId="77777777" w:rsidTr="00AB62BF">
        <w:trPr>
          <w:trHeight w:val="39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DE13F17" w14:textId="1B2E5FC1" w:rsidR="00AB62BF" w:rsidRPr="00E53930" w:rsidRDefault="00AB62BF" w:rsidP="00AB62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980EF1">
              <w:rPr>
                <w:sz w:val="24"/>
                <w:szCs w:val="24"/>
              </w:rPr>
              <w:t xml:space="preserve">dentifikace objednatele </w:t>
            </w:r>
            <w:r>
              <w:rPr>
                <w:sz w:val="24"/>
                <w:szCs w:val="24"/>
              </w:rPr>
              <w:t>referenční zakázky, včetně kontaktu na něj</w:t>
            </w:r>
          </w:p>
        </w:tc>
        <w:tc>
          <w:tcPr>
            <w:tcW w:w="5531" w:type="dxa"/>
            <w:vAlign w:val="center"/>
          </w:tcPr>
          <w:p w14:paraId="153E06A9" w14:textId="2BEA3F81" w:rsidR="00AB62BF" w:rsidRPr="00995C07" w:rsidRDefault="00AB62BF" w:rsidP="00AB62BF">
            <w:pPr>
              <w:jc w:val="center"/>
              <w:rPr>
                <w:sz w:val="24"/>
                <w:szCs w:val="24"/>
                <w:highlight w:val="yellow"/>
              </w:rPr>
            </w:pPr>
            <w:r w:rsidRPr="00B32729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</w:tbl>
    <w:p w14:paraId="6D1E64B8" w14:textId="77777777" w:rsidR="00953650" w:rsidRPr="00C01559" w:rsidRDefault="00953650" w:rsidP="005E4012">
      <w:pPr>
        <w:rPr>
          <w:color w:val="FF0000"/>
          <w:sz w:val="24"/>
          <w:szCs w:val="24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4522"/>
      </w:tblGrid>
      <w:tr w:rsidR="00343509" w:rsidRPr="005B2251" w14:paraId="0EBFAB26" w14:textId="77777777" w:rsidTr="007F3F02">
        <w:trPr>
          <w:trHeight w:val="567"/>
        </w:trPr>
        <w:tc>
          <w:tcPr>
            <w:tcW w:w="5000" w:type="pct"/>
            <w:gridSpan w:val="2"/>
            <w:vAlign w:val="center"/>
          </w:tcPr>
          <w:p w14:paraId="20ED0F34" w14:textId="765D70DF" w:rsidR="00514E32" w:rsidRPr="00514E32" w:rsidRDefault="00514E32" w:rsidP="00514E32">
            <w:pPr>
              <w:pStyle w:val="SML11"/>
              <w:rPr>
                <w:u w:val="single"/>
              </w:rPr>
            </w:pPr>
            <w:r w:rsidRPr="00514E32">
              <w:rPr>
                <w:u w:val="single"/>
              </w:rPr>
              <w:t>Dle § 79 odst. 2 písm. c) ZZVZ</w:t>
            </w:r>
          </w:p>
          <w:p w14:paraId="43B6A731" w14:textId="218B4D9D" w:rsidR="00FC446E" w:rsidRDefault="00AB62BF" w:rsidP="00514E32">
            <w:pPr>
              <w:pStyle w:val="SML11"/>
              <w:numPr>
                <w:ilvl w:val="0"/>
                <w:numId w:val="0"/>
              </w:numPr>
              <w:ind w:left="851"/>
              <w:rPr>
                <w:szCs w:val="24"/>
              </w:rPr>
            </w:pPr>
            <w:r w:rsidRPr="005D2B93">
              <w:rPr>
                <w:szCs w:val="24"/>
              </w:rPr>
              <w:t xml:space="preserve">Dodavatel prohlašuje, že </w:t>
            </w:r>
            <w:r>
              <w:rPr>
                <w:szCs w:val="24"/>
              </w:rPr>
              <w:t xml:space="preserve">splňuje </w:t>
            </w:r>
            <w:r w:rsidR="00FC446E" w:rsidRPr="00FC446E">
              <w:rPr>
                <w:szCs w:val="24"/>
              </w:rPr>
              <w:t xml:space="preserve">a je schopen předložit </w:t>
            </w:r>
            <w:r w:rsidRPr="002153E4">
              <w:rPr>
                <w:bCs w:val="0"/>
              </w:rPr>
              <w:t>osvědčení o vzdělání a</w:t>
            </w:r>
            <w:r>
              <w:rPr>
                <w:bCs w:val="0"/>
              </w:rPr>
              <w:t> </w:t>
            </w:r>
            <w:r w:rsidRPr="002153E4">
              <w:rPr>
                <w:bCs w:val="0"/>
              </w:rPr>
              <w:t xml:space="preserve">odborné kvalifikaci </w:t>
            </w:r>
            <w:r>
              <w:rPr>
                <w:bCs w:val="0"/>
              </w:rPr>
              <w:t xml:space="preserve">jedné osoby na pozici </w:t>
            </w:r>
            <w:r>
              <w:rPr>
                <w:b/>
                <w:bCs w:val="0"/>
              </w:rPr>
              <w:t xml:space="preserve">stavbyvedoucího, </w:t>
            </w:r>
            <w:r>
              <w:t xml:space="preserve">který se </w:t>
            </w:r>
            <w:r w:rsidRPr="002153E4">
              <w:t>bude přímo účastnit řízení, kontroly a provádění příslušných stavebních či montážních prací</w:t>
            </w:r>
            <w:r>
              <w:t xml:space="preserve"> v rámci plnění veřejné zakázky, která disponuje minimálně</w:t>
            </w:r>
            <w:r w:rsidR="00FC446E" w:rsidRPr="00FC446E">
              <w:rPr>
                <w:szCs w:val="24"/>
              </w:rPr>
              <w:t>:</w:t>
            </w:r>
          </w:p>
          <w:p w14:paraId="3EF93B94" w14:textId="77777777" w:rsidR="00AB62BF" w:rsidRDefault="00AB62BF" w:rsidP="00AB62BF">
            <w:pPr>
              <w:pStyle w:val="SML11"/>
              <w:numPr>
                <w:ilvl w:val="0"/>
                <w:numId w:val="11"/>
              </w:numPr>
              <w:ind w:left="1418" w:hanging="567"/>
            </w:pPr>
            <w:r w:rsidRPr="002153E4">
              <w:rPr>
                <w:b/>
              </w:rPr>
              <w:t xml:space="preserve">ukončeným středoškolským nebo vysokoškolským vzděláním </w:t>
            </w:r>
            <w:r w:rsidRPr="002153E4">
              <w:t>technického směru</w:t>
            </w:r>
            <w:r>
              <w:t>;</w:t>
            </w:r>
          </w:p>
          <w:p w14:paraId="7A6F6A9D" w14:textId="3D095734" w:rsidR="00AB62BF" w:rsidRDefault="00AB62BF" w:rsidP="00AB62BF">
            <w:pPr>
              <w:pStyle w:val="SML11"/>
              <w:numPr>
                <w:ilvl w:val="0"/>
                <w:numId w:val="11"/>
              </w:numPr>
              <w:ind w:left="1418" w:hanging="567"/>
            </w:pPr>
            <w:r w:rsidRPr="002153E4">
              <w:rPr>
                <w:b/>
              </w:rPr>
              <w:t xml:space="preserve">odbornou způsobilostí </w:t>
            </w:r>
            <w:r w:rsidRPr="00E87277">
              <w:rPr>
                <w:b/>
                <w:bCs w:val="0"/>
              </w:rPr>
              <w:t>dle přílohy č. 4 bodu 8. písm. a) a b) vyhlášky č.</w:t>
            </w:r>
            <w:r>
              <w:rPr>
                <w:b/>
                <w:bCs w:val="0"/>
              </w:rPr>
              <w:t> </w:t>
            </w:r>
            <w:r w:rsidRPr="00E87277">
              <w:rPr>
                <w:b/>
                <w:bCs w:val="0"/>
              </w:rPr>
              <w:t>100/1995 Sb., řád určených technických zařízení</w:t>
            </w:r>
            <w:r w:rsidRPr="008E6A36">
              <w:t>, ve znění pozdějších předpisů, pro</w:t>
            </w:r>
            <w:r>
              <w:t> </w:t>
            </w:r>
            <w:r w:rsidRPr="008E6A36">
              <w:t>zařízení na dráze trolejbusové dle</w:t>
            </w:r>
            <w:r>
              <w:t> </w:t>
            </w:r>
            <w:r w:rsidRPr="008E6A36">
              <w:t>§</w:t>
            </w:r>
            <w:r>
              <w:t> </w:t>
            </w:r>
            <w:r w:rsidRPr="008E6A36">
              <w:t>1 odst. 4 písm. a</w:t>
            </w:r>
            <w:r>
              <w:t>)</w:t>
            </w:r>
            <w:r w:rsidRPr="008E6A36">
              <w:t>, b</w:t>
            </w:r>
            <w:r>
              <w:t>)</w:t>
            </w:r>
            <w:r w:rsidRPr="008E6A36">
              <w:t>, c</w:t>
            </w:r>
            <w:r>
              <w:t>)</w:t>
            </w:r>
            <w:r w:rsidRPr="008E6A36">
              <w:t>, d</w:t>
            </w:r>
            <w:r>
              <w:t>)</w:t>
            </w:r>
            <w:r w:rsidRPr="008E6A36">
              <w:t>, e</w:t>
            </w:r>
            <w:r>
              <w:t>)</w:t>
            </w:r>
            <w:r w:rsidRPr="008E6A36">
              <w:t xml:space="preserve"> vyhlášky č.</w:t>
            </w:r>
            <w:r>
              <w:t> </w:t>
            </w:r>
            <w:r w:rsidRPr="008E6A36">
              <w:t xml:space="preserve">100/1995 Sb., </w:t>
            </w:r>
            <w:r>
              <w:t>ř</w:t>
            </w:r>
            <w:r w:rsidRPr="008E6A36">
              <w:t>ád určených technických zařízení, ve</w:t>
            </w:r>
            <w:r>
              <w:t> </w:t>
            </w:r>
            <w:r w:rsidRPr="008E6A36">
              <w:t>znění pozdějších předpisů</w:t>
            </w:r>
            <w:r>
              <w:t>,</w:t>
            </w:r>
          </w:p>
          <w:p w14:paraId="1F59FEAD" w14:textId="165686AC" w:rsidR="00AB62BF" w:rsidRDefault="00AB62BF" w:rsidP="00AB62BF">
            <w:pPr>
              <w:pStyle w:val="SML11"/>
              <w:numPr>
                <w:ilvl w:val="0"/>
                <w:numId w:val="11"/>
              </w:numPr>
              <w:ind w:left="1418" w:hanging="567"/>
            </w:pPr>
            <w:r w:rsidRPr="00E87277">
              <w:rPr>
                <w:b/>
                <w:bCs w:val="0"/>
              </w:rPr>
              <w:t>odbornou způsobilost</w:t>
            </w:r>
            <w:r>
              <w:rPr>
                <w:b/>
                <w:bCs w:val="0"/>
              </w:rPr>
              <w:t>í</w:t>
            </w:r>
            <w:r w:rsidRPr="008E6A36">
              <w:t xml:space="preserve"> </w:t>
            </w:r>
            <w:r w:rsidRPr="00E87277">
              <w:rPr>
                <w:b/>
                <w:bCs w:val="0"/>
              </w:rPr>
              <w:t>vedoucího elektrotechnika</w:t>
            </w:r>
            <w:r w:rsidRPr="008E6A36">
              <w:t xml:space="preserve"> dle § </w:t>
            </w:r>
            <w:r>
              <w:t>7 nařízení vlády č. 194/2022</w:t>
            </w:r>
            <w:r w:rsidRPr="008E6A36">
              <w:t xml:space="preserve"> Sb., </w:t>
            </w:r>
            <w:r w:rsidRPr="00E87277">
              <w:t>požadavcích na odbornou způsobilost k</w:t>
            </w:r>
            <w:r>
              <w:t> </w:t>
            </w:r>
            <w:r w:rsidRPr="00E87277">
              <w:t>výkonu činnosti na</w:t>
            </w:r>
            <w:r>
              <w:t> </w:t>
            </w:r>
            <w:r w:rsidRPr="00E87277">
              <w:t>elektrických zařízeních a</w:t>
            </w:r>
            <w:r>
              <w:t> </w:t>
            </w:r>
            <w:r w:rsidRPr="00E87277">
              <w:t>na</w:t>
            </w:r>
            <w:r>
              <w:t> </w:t>
            </w:r>
            <w:r w:rsidRPr="00E87277">
              <w:t>odbornou způsobilost v</w:t>
            </w:r>
            <w:r>
              <w:t> </w:t>
            </w:r>
            <w:r w:rsidRPr="00E87277">
              <w:t>elektrotechnice</w:t>
            </w:r>
            <w:r w:rsidRPr="008E6A36">
              <w:t>, ve</w:t>
            </w:r>
            <w:r w:rsidR="00676EFF">
              <w:t> </w:t>
            </w:r>
            <w:r w:rsidRPr="008E6A36">
              <w:t>znění pozdějších předpisů</w:t>
            </w:r>
            <w:r>
              <w:t>;</w:t>
            </w:r>
          </w:p>
          <w:p w14:paraId="5A8BED37" w14:textId="77777777" w:rsidR="00AB62BF" w:rsidRPr="000D694C" w:rsidRDefault="00AB62BF" w:rsidP="00AB62BF">
            <w:pPr>
              <w:pStyle w:val="SML11"/>
              <w:numPr>
                <w:ilvl w:val="0"/>
                <w:numId w:val="11"/>
              </w:numPr>
              <w:ind w:left="1418" w:hanging="567"/>
            </w:pPr>
            <w:r w:rsidRPr="000D694C">
              <w:rPr>
                <w:b/>
              </w:rPr>
              <w:t xml:space="preserve">profesní zkušeností v pozici </w:t>
            </w:r>
            <w:r>
              <w:rPr>
                <w:b/>
              </w:rPr>
              <w:t>stavbyvedoucího</w:t>
            </w:r>
            <w:r w:rsidRPr="000D694C">
              <w:t xml:space="preserve"> při</w:t>
            </w:r>
            <w:r>
              <w:t> </w:t>
            </w:r>
            <w:r w:rsidRPr="000D694C">
              <w:t>realizaci nejméně dvou zakázek v posledních 5</w:t>
            </w:r>
            <w:r>
              <w:t> </w:t>
            </w:r>
            <w:r w:rsidRPr="000D694C">
              <w:t xml:space="preserve">letech spočívající v realizaci prací odpovídající předmětu této veřejné zakázky, tj. </w:t>
            </w:r>
            <w:r w:rsidRPr="000D694C">
              <w:rPr>
                <w:b/>
              </w:rPr>
              <w:t>výstavba či</w:t>
            </w:r>
            <w:r>
              <w:rPr>
                <w:b/>
              </w:rPr>
              <w:t> </w:t>
            </w:r>
            <w:r w:rsidRPr="000D694C">
              <w:rPr>
                <w:b/>
              </w:rPr>
              <w:t>rekonstrukce měnírny el</w:t>
            </w:r>
            <w:r>
              <w:rPr>
                <w:b/>
              </w:rPr>
              <w:t>ektrické</w:t>
            </w:r>
            <w:r w:rsidRPr="000D694C">
              <w:rPr>
                <w:b/>
              </w:rPr>
              <w:t xml:space="preserve"> energie (vč. technologie) sloužící pro napájení trakční sítě drážní dopravy, vydaná objednatelem v minimální finančním rozsahu </w:t>
            </w:r>
            <w:r w:rsidRPr="00FD2AF9">
              <w:rPr>
                <w:b/>
              </w:rPr>
              <w:t>10</w:t>
            </w:r>
            <w:r>
              <w:rPr>
                <w:b/>
              </w:rPr>
              <w:t>.000.000</w:t>
            </w:r>
            <w:r w:rsidRPr="00FD2AF9">
              <w:rPr>
                <w:b/>
              </w:rPr>
              <w:t xml:space="preserve"> Kč bez DPH </w:t>
            </w:r>
            <w:r w:rsidRPr="000D694C">
              <w:rPr>
                <w:b/>
              </w:rPr>
              <w:t xml:space="preserve">za každou jednotlivou </w:t>
            </w:r>
            <w:r>
              <w:rPr>
                <w:b/>
              </w:rPr>
              <w:t>takovou zakázku</w:t>
            </w:r>
            <w:r w:rsidRPr="000D694C">
              <w:rPr>
                <w:b/>
              </w:rPr>
              <w:t>.</w:t>
            </w:r>
          </w:p>
          <w:p w14:paraId="7B31C255" w14:textId="4FF71EB3" w:rsidR="00AB62BF" w:rsidRDefault="00AB62BF" w:rsidP="00514E32">
            <w:pPr>
              <w:pStyle w:val="SML11"/>
              <w:numPr>
                <w:ilvl w:val="0"/>
                <w:numId w:val="0"/>
              </w:numPr>
              <w:ind w:left="851"/>
            </w:pPr>
            <w:r>
              <w:rPr>
                <w:szCs w:val="24"/>
              </w:rPr>
              <w:t xml:space="preserve">Za tímto účelem je dodavatel schopen předložit ve vztahu k </w:t>
            </w:r>
            <w:r>
              <w:rPr>
                <w:bCs w:val="0"/>
              </w:rPr>
              <w:t xml:space="preserve">osobě na pozici </w:t>
            </w:r>
            <w:r w:rsidRPr="007F3F02">
              <w:t>stavbyvedoucího</w:t>
            </w:r>
            <w:r>
              <w:rPr>
                <w:b/>
                <w:bCs w:val="0"/>
              </w:rPr>
              <w:t xml:space="preserve"> </w:t>
            </w:r>
            <w:r w:rsidRPr="007F3F02">
              <w:rPr>
                <w:b/>
                <w:bCs w:val="0"/>
              </w:rPr>
              <w:t>doklad o ukončeném vzdělání a doklad o odborné způsobilosti</w:t>
            </w:r>
            <w:r>
              <w:t>.</w:t>
            </w:r>
          </w:p>
          <w:p w14:paraId="76B6D28D" w14:textId="3B6DB67E" w:rsidR="00AB62BF" w:rsidRPr="00AB62BF" w:rsidRDefault="00AB62BF" w:rsidP="00514E32">
            <w:pPr>
              <w:pStyle w:val="SML11"/>
              <w:numPr>
                <w:ilvl w:val="0"/>
                <w:numId w:val="0"/>
              </w:numPr>
              <w:ind w:left="851"/>
              <w:rPr>
                <w:szCs w:val="24"/>
              </w:rPr>
            </w:pPr>
            <w:r>
              <w:t xml:space="preserve">Dále za tímto účelem dodavatel předkládá tento životopis osoby </w:t>
            </w:r>
            <w:r>
              <w:rPr>
                <w:bCs w:val="0"/>
              </w:rPr>
              <w:t xml:space="preserve">na pozici </w:t>
            </w:r>
            <w:r>
              <w:rPr>
                <w:b/>
                <w:bCs w:val="0"/>
              </w:rPr>
              <w:t>stavbyvedoucího:</w:t>
            </w:r>
          </w:p>
          <w:tbl>
            <w:tblPr>
              <w:tblStyle w:val="Mkatabulky"/>
              <w:tblW w:w="8071" w:type="dxa"/>
              <w:tblInd w:w="887" w:type="dxa"/>
              <w:tblLook w:val="04A0" w:firstRow="1" w:lastRow="0" w:firstColumn="1" w:lastColumn="0" w:noHBand="0" w:noVBand="1"/>
            </w:tblPr>
            <w:tblGrid>
              <w:gridCol w:w="2264"/>
              <w:gridCol w:w="5807"/>
            </w:tblGrid>
            <w:tr w:rsidR="00AB62BF" w:rsidRPr="0083139F" w14:paraId="424526D2" w14:textId="77777777" w:rsidTr="007F3F02">
              <w:trPr>
                <w:trHeight w:val="397"/>
              </w:trPr>
              <w:tc>
                <w:tcPr>
                  <w:tcW w:w="8071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0AF3B3CB" w14:textId="1A68EFD6" w:rsidR="00AB62BF" w:rsidRPr="00FC446E" w:rsidRDefault="00AB62BF" w:rsidP="00FC446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Životopis osoby na pozici stavbyvedoucího</w:t>
                  </w:r>
                </w:p>
              </w:tc>
            </w:tr>
            <w:tr w:rsidR="00AB62BF" w:rsidRPr="0083139F" w14:paraId="6EC10468" w14:textId="77777777" w:rsidTr="007F3F02">
              <w:trPr>
                <w:trHeight w:val="397"/>
              </w:trPr>
              <w:tc>
                <w:tcPr>
                  <w:tcW w:w="2264" w:type="dxa"/>
                  <w:shd w:val="clear" w:color="auto" w:fill="D9D9D9" w:themeFill="background1" w:themeFillShade="D9"/>
                  <w:vAlign w:val="center"/>
                </w:tcPr>
                <w:p w14:paraId="71EF2957" w14:textId="6DA2D0CC" w:rsidR="00AB62BF" w:rsidRPr="00AB62A6" w:rsidRDefault="00AB62BF" w:rsidP="00AB62BF">
                  <w:pPr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>T</w:t>
                  </w:r>
                  <w:r w:rsidRPr="00AB62BF">
                    <w:rPr>
                      <w:sz w:val="24"/>
                      <w:szCs w:val="24"/>
                    </w:rPr>
                    <w:t>itul, jméno a</w:t>
                  </w:r>
                  <w:r w:rsidR="007F3F02">
                    <w:rPr>
                      <w:sz w:val="24"/>
                      <w:szCs w:val="24"/>
                    </w:rPr>
                    <w:t> </w:t>
                  </w:r>
                  <w:r w:rsidRPr="00AB62BF">
                    <w:rPr>
                      <w:sz w:val="24"/>
                      <w:szCs w:val="24"/>
                    </w:rPr>
                    <w:t>příjmení</w:t>
                  </w:r>
                </w:p>
              </w:tc>
              <w:tc>
                <w:tcPr>
                  <w:tcW w:w="5807" w:type="dxa"/>
                  <w:vAlign w:val="center"/>
                </w:tcPr>
                <w:p w14:paraId="7F11F3C0" w14:textId="608757C6" w:rsidR="00AB62BF" w:rsidRPr="00995C07" w:rsidRDefault="00AB62BF" w:rsidP="00AB62BF">
                  <w:pPr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230386">
                    <w:rPr>
                      <w:sz w:val="24"/>
                      <w:szCs w:val="24"/>
                      <w:highlight w:val="lightGray"/>
                    </w:rPr>
                    <w:t>[DOPLNÍ ÚČASTNÍK]</w:t>
                  </w:r>
                </w:p>
              </w:tc>
            </w:tr>
            <w:tr w:rsidR="00AB62BF" w:rsidRPr="0083139F" w14:paraId="657AAF16" w14:textId="77777777" w:rsidTr="007F3F02">
              <w:trPr>
                <w:trHeight w:val="397"/>
              </w:trPr>
              <w:tc>
                <w:tcPr>
                  <w:tcW w:w="2264" w:type="dxa"/>
                  <w:shd w:val="clear" w:color="auto" w:fill="D9D9D9" w:themeFill="background1" w:themeFillShade="D9"/>
                  <w:vAlign w:val="center"/>
                </w:tcPr>
                <w:p w14:paraId="7DD30D21" w14:textId="6AE1B6CC" w:rsidR="00AB62BF" w:rsidRPr="00E53930" w:rsidRDefault="00AB62BF" w:rsidP="00AB62BF">
                  <w:pPr>
                    <w:jc w:val="left"/>
                    <w:rPr>
                      <w:sz w:val="24"/>
                      <w:szCs w:val="24"/>
                      <w:highlight w:val="yellow"/>
                    </w:rPr>
                  </w:pPr>
                  <w:r>
                    <w:rPr>
                      <w:sz w:val="24"/>
                      <w:szCs w:val="24"/>
                    </w:rPr>
                    <w:t>K</w:t>
                  </w:r>
                  <w:r w:rsidRPr="00AB62BF">
                    <w:rPr>
                      <w:sz w:val="24"/>
                      <w:szCs w:val="24"/>
                    </w:rPr>
                    <w:t>ontaktní údaje</w:t>
                  </w:r>
                </w:p>
              </w:tc>
              <w:tc>
                <w:tcPr>
                  <w:tcW w:w="5807" w:type="dxa"/>
                  <w:vAlign w:val="center"/>
                </w:tcPr>
                <w:p w14:paraId="24AB94DD" w14:textId="6809D50A" w:rsidR="00AB62BF" w:rsidRPr="00995C07" w:rsidRDefault="00AB62BF" w:rsidP="00AB62BF">
                  <w:pPr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230386">
                    <w:rPr>
                      <w:sz w:val="24"/>
                      <w:szCs w:val="24"/>
                      <w:highlight w:val="lightGray"/>
                    </w:rPr>
                    <w:t>[DOPLNÍ ÚČASTNÍK]</w:t>
                  </w:r>
                </w:p>
              </w:tc>
            </w:tr>
            <w:tr w:rsidR="00AB62BF" w:rsidRPr="0083139F" w14:paraId="050D64F3" w14:textId="77777777" w:rsidTr="007F3F02">
              <w:trPr>
                <w:trHeight w:val="397"/>
              </w:trPr>
              <w:tc>
                <w:tcPr>
                  <w:tcW w:w="2264" w:type="dxa"/>
                  <w:shd w:val="clear" w:color="auto" w:fill="D9D9D9" w:themeFill="background1" w:themeFillShade="D9"/>
                  <w:vAlign w:val="center"/>
                </w:tcPr>
                <w:p w14:paraId="2E9BBFCD" w14:textId="366C4B09" w:rsidR="00AB62BF" w:rsidRPr="00E53930" w:rsidRDefault="00AB62BF" w:rsidP="00AB62B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</w:t>
                  </w:r>
                  <w:r w:rsidRPr="00AB62BF">
                    <w:rPr>
                      <w:sz w:val="24"/>
                      <w:szCs w:val="24"/>
                    </w:rPr>
                    <w:t>osažené vzdělání</w:t>
                  </w:r>
                </w:p>
              </w:tc>
              <w:tc>
                <w:tcPr>
                  <w:tcW w:w="5807" w:type="dxa"/>
                  <w:vAlign w:val="center"/>
                </w:tcPr>
                <w:p w14:paraId="2819E906" w14:textId="6E731AE4" w:rsidR="00AB62BF" w:rsidRPr="00995C07" w:rsidRDefault="00AB62BF" w:rsidP="00AB62BF">
                  <w:pPr>
                    <w:jc w:val="center"/>
                    <w:rPr>
                      <w:sz w:val="24"/>
                      <w:szCs w:val="24"/>
                      <w:highlight w:val="yellow"/>
                    </w:rPr>
                  </w:pPr>
                  <w:r w:rsidRPr="00230386">
                    <w:rPr>
                      <w:sz w:val="24"/>
                      <w:szCs w:val="24"/>
                      <w:highlight w:val="lightGray"/>
                    </w:rPr>
                    <w:t>[DOPLNÍ ÚČASTNÍK]</w:t>
                  </w:r>
                </w:p>
              </w:tc>
            </w:tr>
            <w:tr w:rsidR="00AB62BF" w:rsidRPr="0083139F" w14:paraId="1C1B21E9" w14:textId="77777777" w:rsidTr="007F3F02">
              <w:trPr>
                <w:trHeight w:val="397"/>
              </w:trPr>
              <w:tc>
                <w:tcPr>
                  <w:tcW w:w="2264" w:type="dxa"/>
                  <w:shd w:val="clear" w:color="auto" w:fill="D9D9D9" w:themeFill="background1" w:themeFillShade="D9"/>
                  <w:vAlign w:val="center"/>
                </w:tcPr>
                <w:p w14:paraId="3D1D9923" w14:textId="4DB5E59C" w:rsidR="00AB62BF" w:rsidRDefault="00AB62BF" w:rsidP="00AB62B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Ú</w:t>
                  </w:r>
                  <w:r w:rsidRPr="00AB62BF">
                    <w:rPr>
                      <w:sz w:val="24"/>
                      <w:szCs w:val="24"/>
                    </w:rPr>
                    <w:t>daj, v jakém poměru je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AB62BF">
                    <w:rPr>
                      <w:sz w:val="24"/>
                      <w:szCs w:val="24"/>
                    </w:rPr>
                    <w:t>daná osoba k dodavateli</w:t>
                  </w:r>
                </w:p>
              </w:tc>
              <w:tc>
                <w:tcPr>
                  <w:tcW w:w="5807" w:type="dxa"/>
                  <w:vAlign w:val="center"/>
                </w:tcPr>
                <w:p w14:paraId="3388A47D" w14:textId="489A0D79" w:rsidR="00AB62BF" w:rsidRPr="00230386" w:rsidRDefault="007F3F02" w:rsidP="00AB62BF">
                  <w:pPr>
                    <w:jc w:val="center"/>
                    <w:rPr>
                      <w:sz w:val="24"/>
                      <w:szCs w:val="24"/>
                      <w:highlight w:val="lightGray"/>
                    </w:rPr>
                  </w:pPr>
                  <w:r w:rsidRPr="00230386">
                    <w:rPr>
                      <w:sz w:val="24"/>
                      <w:szCs w:val="24"/>
                      <w:highlight w:val="lightGray"/>
                    </w:rPr>
                    <w:t>[DOPLNÍ ÚČASTNÍK]</w:t>
                  </w:r>
                </w:p>
              </w:tc>
            </w:tr>
            <w:tr w:rsidR="00AB62BF" w:rsidRPr="0083139F" w14:paraId="02F5D30E" w14:textId="77777777" w:rsidTr="007F3F02">
              <w:trPr>
                <w:trHeight w:val="397"/>
              </w:trPr>
              <w:tc>
                <w:tcPr>
                  <w:tcW w:w="2264" w:type="dxa"/>
                  <w:shd w:val="clear" w:color="auto" w:fill="D9D9D9" w:themeFill="background1" w:themeFillShade="D9"/>
                  <w:vAlign w:val="center"/>
                </w:tcPr>
                <w:p w14:paraId="7BA99C57" w14:textId="2B1F265C" w:rsidR="00AB62BF" w:rsidRDefault="00AB62BF" w:rsidP="00AB62B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</w:t>
                  </w:r>
                  <w:r w:rsidRPr="00AB62BF">
                    <w:rPr>
                      <w:sz w:val="24"/>
                      <w:szCs w:val="24"/>
                    </w:rPr>
                    <w:t>řehled profesní praxe a její délky v</w:t>
                  </w:r>
                  <w:r w:rsidR="007F3F02">
                    <w:rPr>
                      <w:sz w:val="24"/>
                      <w:szCs w:val="24"/>
                    </w:rPr>
                    <w:t> </w:t>
                  </w:r>
                  <w:r w:rsidRPr="00AB62BF">
                    <w:rPr>
                      <w:sz w:val="24"/>
                      <w:szCs w:val="24"/>
                    </w:rPr>
                    <w:t>relevantním oboru</w:t>
                  </w:r>
                </w:p>
              </w:tc>
              <w:tc>
                <w:tcPr>
                  <w:tcW w:w="5807" w:type="dxa"/>
                  <w:vAlign w:val="center"/>
                </w:tcPr>
                <w:p w14:paraId="34DFA626" w14:textId="5903B3E5" w:rsidR="00AB62BF" w:rsidRPr="00230386" w:rsidRDefault="007F3F02" w:rsidP="00AB62BF">
                  <w:pPr>
                    <w:jc w:val="center"/>
                    <w:rPr>
                      <w:sz w:val="24"/>
                      <w:szCs w:val="24"/>
                      <w:highlight w:val="lightGray"/>
                    </w:rPr>
                  </w:pPr>
                  <w:r w:rsidRPr="00230386">
                    <w:rPr>
                      <w:sz w:val="24"/>
                      <w:szCs w:val="24"/>
                      <w:highlight w:val="lightGray"/>
                    </w:rPr>
                    <w:t>[DOPLNÍ ÚČASTNÍK]</w:t>
                  </w:r>
                </w:p>
              </w:tc>
            </w:tr>
            <w:tr w:rsidR="00AB62BF" w:rsidRPr="0083139F" w14:paraId="047EBF4B" w14:textId="77777777" w:rsidTr="007F3F02">
              <w:trPr>
                <w:trHeight w:val="397"/>
              </w:trPr>
              <w:tc>
                <w:tcPr>
                  <w:tcW w:w="2264" w:type="dxa"/>
                  <w:shd w:val="clear" w:color="auto" w:fill="D9D9D9" w:themeFill="background1" w:themeFillShade="D9"/>
                  <w:vAlign w:val="center"/>
                </w:tcPr>
                <w:p w14:paraId="7976F682" w14:textId="6D58E8B8" w:rsidR="00AB62BF" w:rsidRDefault="00AB62BF" w:rsidP="00AB62BF">
                  <w:pPr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Profesní zkušenost (referenční zakázky osoby na pozici stavbyvedoucího)</w:t>
                  </w:r>
                </w:p>
              </w:tc>
              <w:tc>
                <w:tcPr>
                  <w:tcW w:w="5807" w:type="dxa"/>
                </w:tcPr>
                <w:p w14:paraId="4490FE49" w14:textId="3A14442A" w:rsidR="00AB62BF" w:rsidRPr="007F3F02" w:rsidRDefault="007F3F02" w:rsidP="007F3F02">
                  <w:pPr>
                    <w:spacing w:before="120"/>
                    <w:jc w:val="left"/>
                    <w:rPr>
                      <w:b/>
                      <w:bCs/>
                      <w:sz w:val="24"/>
                      <w:szCs w:val="24"/>
                      <w:vertAlign w:val="superscript"/>
                    </w:rPr>
                  </w:pPr>
                  <w:r w:rsidRPr="007F3F02">
                    <w:rPr>
                      <w:b/>
                      <w:bCs/>
                      <w:sz w:val="24"/>
                      <w:szCs w:val="24"/>
                    </w:rPr>
                    <w:t xml:space="preserve">Referenční zakázka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stavbyvedoucího </w:t>
                  </w:r>
                  <w:r w:rsidRPr="007F3F02">
                    <w:rPr>
                      <w:b/>
                      <w:bCs/>
                      <w:sz w:val="24"/>
                      <w:szCs w:val="24"/>
                    </w:rPr>
                    <w:t>XY</w:t>
                  </w:r>
                  <w:r w:rsidRPr="007F3F02">
                    <w:rPr>
                      <w:b/>
                      <w:bCs/>
                      <w:sz w:val="24"/>
                      <w:szCs w:val="24"/>
                      <w:vertAlign w:val="superscript"/>
                    </w:rPr>
                    <w:t>3</w:t>
                  </w:r>
                </w:p>
                <w:tbl>
                  <w:tblPr>
                    <w:tblStyle w:val="Mkatabulky"/>
                    <w:tblW w:w="5000" w:type="pct"/>
                    <w:tblLook w:val="04A0" w:firstRow="1" w:lastRow="0" w:firstColumn="1" w:lastColumn="0" w:noHBand="0" w:noVBand="1"/>
                  </w:tblPr>
                  <w:tblGrid>
                    <w:gridCol w:w="1761"/>
                    <w:gridCol w:w="3820"/>
                  </w:tblGrid>
                  <w:tr w:rsidR="007F3F02" w:rsidRPr="0083139F" w14:paraId="05C80A2F" w14:textId="77777777" w:rsidTr="007F3F02">
                    <w:trPr>
                      <w:trHeight w:val="397"/>
                    </w:trPr>
                    <w:tc>
                      <w:tcPr>
                        <w:tcW w:w="1578" w:type="pct"/>
                        <w:shd w:val="clear" w:color="auto" w:fill="D9D9D9" w:themeFill="background1" w:themeFillShade="D9"/>
                        <w:vAlign w:val="center"/>
                      </w:tcPr>
                      <w:p w14:paraId="0978008D" w14:textId="67395DAF" w:rsidR="007F3F02" w:rsidRPr="009B723B" w:rsidRDefault="007F3F02" w:rsidP="007F3F02">
                        <w:pPr>
                          <w:keepNext/>
                          <w:jc w:val="left"/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 w:rsidRPr="00ED28D3">
                          <w:rPr>
                            <w:sz w:val="24"/>
                            <w:szCs w:val="24"/>
                          </w:rPr>
                          <w:t>ázev či</w:t>
                        </w:r>
                        <w:r>
                          <w:rPr>
                            <w:sz w:val="24"/>
                            <w:szCs w:val="24"/>
                          </w:rPr>
                          <w:t> </w:t>
                        </w:r>
                        <w:r w:rsidRPr="00ED28D3">
                          <w:rPr>
                            <w:sz w:val="24"/>
                            <w:szCs w:val="24"/>
                          </w:rPr>
                          <w:t xml:space="preserve">označení </w:t>
                        </w:r>
                      </w:p>
                    </w:tc>
                    <w:tc>
                      <w:tcPr>
                        <w:tcW w:w="3422" w:type="pct"/>
                        <w:vAlign w:val="center"/>
                      </w:tcPr>
                      <w:p w14:paraId="5BB9E661" w14:textId="77777777" w:rsidR="007F3F02" w:rsidRPr="00364C82" w:rsidRDefault="007F3F02" w:rsidP="007F3F0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3448D">
                          <w:rPr>
                            <w:sz w:val="24"/>
                            <w:szCs w:val="24"/>
                            <w:highlight w:val="lightGray"/>
                          </w:rPr>
                          <w:t>[DOPLNÍ ÚČASTNÍK]</w:t>
                        </w:r>
                      </w:p>
                    </w:tc>
                  </w:tr>
                  <w:tr w:rsidR="007F3F02" w:rsidRPr="0083139F" w14:paraId="1BC584EC" w14:textId="77777777" w:rsidTr="007F3F02">
                    <w:trPr>
                      <w:trHeight w:val="397"/>
                    </w:trPr>
                    <w:tc>
                      <w:tcPr>
                        <w:tcW w:w="1578" w:type="pct"/>
                        <w:shd w:val="clear" w:color="auto" w:fill="D9D9D9" w:themeFill="background1" w:themeFillShade="D9"/>
                        <w:vAlign w:val="center"/>
                      </w:tcPr>
                      <w:p w14:paraId="663B529C" w14:textId="1ECC0208" w:rsidR="007F3F02" w:rsidRPr="00AB62A6" w:rsidRDefault="007F3F02" w:rsidP="007F3F02">
                        <w:pPr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  <w:r w:rsidRPr="47FC5FC9">
                          <w:rPr>
                            <w:sz w:val="24"/>
                            <w:szCs w:val="24"/>
                          </w:rPr>
                          <w:t>Popis</w:t>
                        </w:r>
                        <w:r w:rsidRPr="000E3894">
                          <w:rPr>
                            <w:sz w:val="24"/>
                            <w:szCs w:val="24"/>
                          </w:rPr>
                          <w:t xml:space="preserve"> předmět</w:t>
                        </w:r>
                        <w:r>
                          <w:rPr>
                            <w:sz w:val="24"/>
                            <w:szCs w:val="24"/>
                          </w:rPr>
                          <w:t>u</w:t>
                        </w:r>
                        <w:r w:rsidRPr="000E3894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422" w:type="pct"/>
                        <w:vAlign w:val="center"/>
                      </w:tcPr>
                      <w:p w14:paraId="0CDD2AF4" w14:textId="77777777" w:rsidR="007F3F02" w:rsidRPr="00995C07" w:rsidRDefault="007F3F02" w:rsidP="007F3F02">
                        <w:pPr>
                          <w:jc w:val="center"/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  <w:r w:rsidRPr="0023448D">
                          <w:rPr>
                            <w:sz w:val="24"/>
                            <w:szCs w:val="24"/>
                            <w:highlight w:val="lightGray"/>
                          </w:rPr>
                          <w:t>[DOPLNÍ ÚČASTNÍK]</w:t>
                        </w:r>
                      </w:p>
                    </w:tc>
                  </w:tr>
                  <w:tr w:rsidR="007F3F02" w:rsidRPr="0083139F" w14:paraId="6FC546F0" w14:textId="77777777" w:rsidTr="007F3F02">
                    <w:trPr>
                      <w:trHeight w:val="397"/>
                    </w:trPr>
                    <w:tc>
                      <w:tcPr>
                        <w:tcW w:w="1578" w:type="pct"/>
                        <w:shd w:val="clear" w:color="auto" w:fill="D9D9D9" w:themeFill="background1" w:themeFillShade="D9"/>
                        <w:vAlign w:val="center"/>
                      </w:tcPr>
                      <w:p w14:paraId="038900A5" w14:textId="2A5DB018" w:rsidR="007F3F02" w:rsidRPr="00E53930" w:rsidRDefault="007F3F02" w:rsidP="007F3F02">
                        <w:pPr>
                          <w:jc w:val="left"/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</w:t>
                        </w:r>
                        <w:r w:rsidRPr="0087252E">
                          <w:rPr>
                            <w:sz w:val="24"/>
                            <w:szCs w:val="24"/>
                          </w:rPr>
                          <w:t xml:space="preserve">oba realizace </w:t>
                        </w:r>
                      </w:p>
                    </w:tc>
                    <w:tc>
                      <w:tcPr>
                        <w:tcW w:w="3422" w:type="pct"/>
                        <w:vAlign w:val="center"/>
                      </w:tcPr>
                      <w:p w14:paraId="39EA622E" w14:textId="77777777" w:rsidR="007F3F02" w:rsidRPr="00995C07" w:rsidRDefault="007F3F02" w:rsidP="007F3F02">
                        <w:pPr>
                          <w:jc w:val="center"/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  <w:r w:rsidRPr="00B32729">
                          <w:rPr>
                            <w:sz w:val="24"/>
                            <w:szCs w:val="24"/>
                            <w:highlight w:val="lightGray"/>
                          </w:rPr>
                          <w:t>[DOPLNÍ ÚČASTNÍK]</w:t>
                        </w:r>
                      </w:p>
                    </w:tc>
                  </w:tr>
                  <w:tr w:rsidR="007F3F02" w:rsidRPr="0083139F" w14:paraId="43625EA6" w14:textId="77777777" w:rsidTr="007F3F02">
                    <w:trPr>
                      <w:trHeight w:val="397"/>
                    </w:trPr>
                    <w:tc>
                      <w:tcPr>
                        <w:tcW w:w="1578" w:type="pct"/>
                        <w:shd w:val="clear" w:color="auto" w:fill="D9D9D9" w:themeFill="background1" w:themeFillShade="D9"/>
                        <w:vAlign w:val="center"/>
                      </w:tcPr>
                      <w:p w14:paraId="7E3F6948" w14:textId="13769F43" w:rsidR="007F3F02" w:rsidRPr="00E53930" w:rsidRDefault="007F3F02" w:rsidP="007F3F02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Fi</w:t>
                        </w:r>
                        <w:r w:rsidRPr="00CF25E5">
                          <w:rPr>
                            <w:sz w:val="24"/>
                            <w:szCs w:val="24"/>
                          </w:rPr>
                          <w:t xml:space="preserve">nanční rozsah </w:t>
                        </w:r>
                      </w:p>
                    </w:tc>
                    <w:tc>
                      <w:tcPr>
                        <w:tcW w:w="3422" w:type="pct"/>
                        <w:vAlign w:val="center"/>
                      </w:tcPr>
                      <w:p w14:paraId="61B6F859" w14:textId="77777777" w:rsidR="007F3F02" w:rsidRPr="00995C07" w:rsidRDefault="007F3F02" w:rsidP="007F3F02">
                        <w:pPr>
                          <w:jc w:val="center"/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  <w:r w:rsidRPr="00B32729">
                          <w:rPr>
                            <w:sz w:val="24"/>
                            <w:szCs w:val="24"/>
                            <w:highlight w:val="lightGray"/>
                          </w:rPr>
                          <w:t>[DOPLNÍ ÚČASTNÍK]</w:t>
                        </w:r>
                      </w:p>
                    </w:tc>
                  </w:tr>
                  <w:tr w:rsidR="007F3F02" w:rsidRPr="0083139F" w14:paraId="592D014A" w14:textId="77777777" w:rsidTr="007F3F02">
                    <w:trPr>
                      <w:trHeight w:val="397"/>
                    </w:trPr>
                    <w:tc>
                      <w:tcPr>
                        <w:tcW w:w="1578" w:type="pct"/>
                        <w:shd w:val="clear" w:color="auto" w:fill="D9D9D9" w:themeFill="background1" w:themeFillShade="D9"/>
                        <w:vAlign w:val="center"/>
                      </w:tcPr>
                      <w:p w14:paraId="2FD5EADC" w14:textId="48C88337" w:rsidR="007F3F02" w:rsidRPr="00E53930" w:rsidRDefault="007F3F02" w:rsidP="007F3F02">
                        <w:pPr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I</w:t>
                        </w:r>
                        <w:r w:rsidRPr="00980EF1">
                          <w:rPr>
                            <w:sz w:val="24"/>
                            <w:szCs w:val="24"/>
                          </w:rPr>
                          <w:t>dentifikace objednatele</w:t>
                        </w:r>
                        <w:r>
                          <w:rPr>
                            <w:sz w:val="24"/>
                            <w:szCs w:val="24"/>
                          </w:rPr>
                          <w:t>, včetně kontaktu na něj</w:t>
                        </w:r>
                      </w:p>
                    </w:tc>
                    <w:tc>
                      <w:tcPr>
                        <w:tcW w:w="3422" w:type="pct"/>
                        <w:vAlign w:val="center"/>
                      </w:tcPr>
                      <w:p w14:paraId="3C9FCA9F" w14:textId="77777777" w:rsidR="007F3F02" w:rsidRPr="00995C07" w:rsidRDefault="007F3F02" w:rsidP="007F3F02">
                        <w:pPr>
                          <w:jc w:val="center"/>
                          <w:rPr>
                            <w:sz w:val="24"/>
                            <w:szCs w:val="24"/>
                            <w:highlight w:val="yellow"/>
                          </w:rPr>
                        </w:pPr>
                        <w:r w:rsidRPr="00B32729">
                          <w:rPr>
                            <w:sz w:val="24"/>
                            <w:szCs w:val="24"/>
                            <w:highlight w:val="lightGray"/>
                          </w:rPr>
                          <w:t>[DOPLNÍ ÚČASTNÍK]</w:t>
                        </w:r>
                      </w:p>
                    </w:tc>
                  </w:tr>
                </w:tbl>
                <w:p w14:paraId="63DBDB73" w14:textId="6C6B7A4E" w:rsidR="007F3F02" w:rsidRPr="00230386" w:rsidRDefault="007F3F02" w:rsidP="007F3F02">
                  <w:pPr>
                    <w:jc w:val="left"/>
                    <w:rPr>
                      <w:sz w:val="24"/>
                      <w:szCs w:val="24"/>
                      <w:highlight w:val="lightGray"/>
                    </w:rPr>
                  </w:pPr>
                </w:p>
              </w:tc>
            </w:tr>
          </w:tbl>
          <w:p w14:paraId="6BE800E4" w14:textId="1FB0AAEC" w:rsidR="009627AC" w:rsidRDefault="009627AC" w:rsidP="009627AC">
            <w:pPr>
              <w:pStyle w:val="SML1"/>
              <w:rPr>
                <w:rStyle w:val="Siln"/>
                <w:b/>
                <w:bCs/>
              </w:rPr>
            </w:pPr>
            <w:r>
              <w:rPr>
                <w:rStyle w:val="Siln"/>
                <w:b/>
                <w:bCs/>
              </w:rPr>
              <w:t>Základní a profesní způsobilost významných poddodavatelů</w:t>
            </w:r>
          </w:p>
          <w:p w14:paraId="64271371" w14:textId="1DC58EFC" w:rsidR="009627AC" w:rsidRDefault="009627AC" w:rsidP="009627AC">
            <w:pPr>
              <w:pStyle w:val="SML11"/>
              <w:numPr>
                <w:ilvl w:val="0"/>
                <w:numId w:val="0"/>
              </w:numPr>
              <w:ind w:left="851"/>
            </w:pPr>
            <w:r>
              <w:t>Dodavatel ve vztahu k Významným poddodavatelům (jak je tento pojem definován ve výzvě k podávání nabídek) prohlašuje, že:</w:t>
            </w:r>
            <w:r w:rsidR="00341E77">
              <w:rPr>
                <w:rStyle w:val="Znakapoznpodarou"/>
              </w:rPr>
              <w:footnoteReference w:id="5"/>
            </w:r>
          </w:p>
          <w:p w14:paraId="4A92572C" w14:textId="11E446D4" w:rsidR="009627AC" w:rsidRDefault="009627AC" w:rsidP="009627AC">
            <w:pPr>
              <w:pStyle w:val="SML11"/>
              <w:numPr>
                <w:ilvl w:val="0"/>
                <w:numId w:val="2"/>
              </w:numPr>
              <w:ind w:left="1418" w:hanging="567"/>
            </w:pPr>
            <w:r>
              <w:t>nevyužije k plnění veřejné zakázky žádné Významné poddodavatele</w:t>
            </w:r>
          </w:p>
          <w:p w14:paraId="4C323FFE" w14:textId="30253095" w:rsidR="009627AC" w:rsidRPr="009627AC" w:rsidRDefault="009627AC" w:rsidP="009627AC">
            <w:pPr>
              <w:pStyle w:val="SML11"/>
              <w:numPr>
                <w:ilvl w:val="0"/>
                <w:numId w:val="2"/>
              </w:numPr>
              <w:ind w:left="1418" w:hanging="567"/>
            </w:pPr>
            <w:r>
              <w:t xml:space="preserve">všichni Významní poddodavatelé </w:t>
            </w:r>
            <w:r w:rsidR="00341E77">
              <w:t>splňují požadavky základní způsobilosti a profesní způsobilosti v souladu v čl. 9 výzvy k podávání nabídek a že dodavatel je schopen k tomu předložit příslušné doklady v rozsahu vyplývajícím z výzvy k podávání nabídek.</w:t>
            </w:r>
          </w:p>
          <w:p w14:paraId="3DAF5F59" w14:textId="24E52B3F" w:rsidR="00322449" w:rsidRDefault="00322449" w:rsidP="00322449">
            <w:pPr>
              <w:pStyle w:val="SML11"/>
              <w:numPr>
                <w:ilvl w:val="0"/>
                <w:numId w:val="0"/>
              </w:numPr>
              <w:ind w:left="851"/>
              <w:rPr>
                <w:szCs w:val="24"/>
              </w:rPr>
            </w:pPr>
          </w:p>
          <w:p w14:paraId="0B96F346" w14:textId="77777777" w:rsidR="00514E32" w:rsidRDefault="00514E32" w:rsidP="00101C60">
            <w:pPr>
              <w:rPr>
                <w:rFonts w:cs="Aptos"/>
                <w:sz w:val="24"/>
                <w:szCs w:val="24"/>
              </w:rPr>
            </w:pPr>
          </w:p>
          <w:p w14:paraId="56BF94E3" w14:textId="0E4AC568" w:rsidR="00343509" w:rsidRPr="00CA6F85" w:rsidRDefault="00343509" w:rsidP="00101C60">
            <w:pPr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V </w:t>
            </w:r>
            <w:r w:rsidR="007F3F02" w:rsidRPr="00B32729">
              <w:rPr>
                <w:sz w:val="24"/>
                <w:szCs w:val="24"/>
                <w:highlight w:val="lightGray"/>
              </w:rPr>
              <w:t>[DOPLNÍ ÚČASTNÍK]</w:t>
            </w:r>
            <w:r w:rsidRPr="00CA6F85">
              <w:rPr>
                <w:rFonts w:cs="Aptos"/>
                <w:sz w:val="24"/>
                <w:szCs w:val="24"/>
              </w:rPr>
              <w:t xml:space="preserve"> dne </w:t>
            </w:r>
            <w:r w:rsidR="007F3F02" w:rsidRPr="00B32729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343509" w:rsidRPr="005B2251" w14:paraId="3E1D562D" w14:textId="77777777" w:rsidTr="007F3F02">
        <w:trPr>
          <w:trHeight w:val="1475"/>
        </w:trPr>
        <w:tc>
          <w:tcPr>
            <w:tcW w:w="2500" w:type="pct"/>
            <w:vAlign w:val="bottom"/>
          </w:tcPr>
          <w:p w14:paraId="6A158CB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57C56137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  <w:p w14:paraId="4A2F4F0D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13F877EC" w14:textId="07907DF5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 w:rsidRPr="00CA6F85">
              <w:rPr>
                <w:rFonts w:cs="Aptos"/>
                <w:sz w:val="24"/>
                <w:szCs w:val="24"/>
              </w:rPr>
              <w:t>____________________________________</w:t>
            </w:r>
          </w:p>
        </w:tc>
      </w:tr>
      <w:tr w:rsidR="00343509" w:rsidRPr="005B2251" w14:paraId="7F71939F" w14:textId="77777777" w:rsidTr="007F3F02">
        <w:trPr>
          <w:trHeight w:val="227"/>
        </w:trPr>
        <w:tc>
          <w:tcPr>
            <w:tcW w:w="2500" w:type="pct"/>
            <w:vAlign w:val="bottom"/>
          </w:tcPr>
          <w:p w14:paraId="067FD418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0F844BA" w14:textId="77777777" w:rsidR="00343509" w:rsidRPr="00CA6F85" w:rsidRDefault="00343509" w:rsidP="00101C60">
            <w:pPr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>za dodavatele</w:t>
            </w:r>
          </w:p>
        </w:tc>
      </w:tr>
      <w:tr w:rsidR="00343509" w:rsidRPr="005B2251" w14:paraId="0ABA77D4" w14:textId="77777777" w:rsidTr="007F3F02">
        <w:trPr>
          <w:trHeight w:val="227"/>
        </w:trPr>
        <w:tc>
          <w:tcPr>
            <w:tcW w:w="2500" w:type="pct"/>
            <w:vAlign w:val="bottom"/>
          </w:tcPr>
          <w:p w14:paraId="433924EF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024ACD81" w14:textId="0CF197D1" w:rsidR="00343509" w:rsidRDefault="00343509" w:rsidP="00D21F1D">
            <w:pPr>
              <w:tabs>
                <w:tab w:val="left" w:pos="1019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Jméno: </w:t>
            </w:r>
            <w:r>
              <w:rPr>
                <w:rFonts w:cs="Aptos"/>
                <w:sz w:val="24"/>
                <w:szCs w:val="24"/>
              </w:rPr>
              <w:tab/>
            </w:r>
            <w:r w:rsidR="007F3F02" w:rsidRPr="00B32729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  <w:tr w:rsidR="00343509" w:rsidRPr="005B2251" w14:paraId="50290CDF" w14:textId="77777777" w:rsidTr="007F3F02">
        <w:trPr>
          <w:trHeight w:val="227"/>
        </w:trPr>
        <w:tc>
          <w:tcPr>
            <w:tcW w:w="2500" w:type="pct"/>
            <w:vAlign w:val="bottom"/>
          </w:tcPr>
          <w:p w14:paraId="2E93A8B5" w14:textId="77777777" w:rsidR="00343509" w:rsidRPr="00CA6F85" w:rsidRDefault="00343509" w:rsidP="00101C60">
            <w:pPr>
              <w:jc w:val="right"/>
              <w:rPr>
                <w:rFonts w:cs="Aptos"/>
                <w:sz w:val="24"/>
                <w:szCs w:val="24"/>
              </w:rPr>
            </w:pPr>
          </w:p>
        </w:tc>
        <w:tc>
          <w:tcPr>
            <w:tcW w:w="2500" w:type="pct"/>
            <w:vAlign w:val="bottom"/>
          </w:tcPr>
          <w:p w14:paraId="71BBE40F" w14:textId="3466E58B" w:rsidR="00343509" w:rsidRDefault="00343509" w:rsidP="00D21F1D">
            <w:pPr>
              <w:tabs>
                <w:tab w:val="left" w:pos="1019"/>
                <w:tab w:val="left" w:pos="1057"/>
              </w:tabs>
              <w:jc w:val="left"/>
              <w:rPr>
                <w:rFonts w:cs="Aptos"/>
                <w:sz w:val="24"/>
                <w:szCs w:val="24"/>
              </w:rPr>
            </w:pPr>
            <w:r>
              <w:rPr>
                <w:rFonts w:cs="Aptos"/>
                <w:sz w:val="24"/>
                <w:szCs w:val="24"/>
              </w:rPr>
              <w:t xml:space="preserve">Funkce: </w:t>
            </w:r>
            <w:r>
              <w:rPr>
                <w:rFonts w:cs="Aptos"/>
                <w:sz w:val="24"/>
                <w:szCs w:val="24"/>
              </w:rPr>
              <w:tab/>
            </w:r>
            <w:r w:rsidR="007F3F02" w:rsidRPr="00B32729">
              <w:rPr>
                <w:sz w:val="24"/>
                <w:szCs w:val="24"/>
                <w:highlight w:val="lightGray"/>
              </w:rPr>
              <w:t>[DOPLNÍ ÚČASTNÍK]</w:t>
            </w:r>
          </w:p>
        </w:tc>
      </w:tr>
    </w:tbl>
    <w:p w14:paraId="606CAA2B" w14:textId="1B69A5A3" w:rsidR="00624192" w:rsidRDefault="00624192" w:rsidP="009D462F"/>
    <w:sectPr w:rsidR="0062419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4E0C" w14:textId="77777777" w:rsidR="006B436F" w:rsidRDefault="006B436F" w:rsidP="00442220">
      <w:r>
        <w:separator/>
      </w:r>
    </w:p>
  </w:endnote>
  <w:endnote w:type="continuationSeparator" w:id="0">
    <w:p w14:paraId="335C380E" w14:textId="77777777" w:rsidR="006B436F" w:rsidRDefault="006B436F" w:rsidP="00442220">
      <w:r>
        <w:continuationSeparator/>
      </w:r>
    </w:p>
  </w:endnote>
  <w:endnote w:type="continuationNotice" w:id="1">
    <w:p w14:paraId="591EEE33" w14:textId="77777777" w:rsidR="006B436F" w:rsidRDefault="006B43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72944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F40B96" w14:textId="02FC7DB0" w:rsidR="00B81C24" w:rsidRDefault="00B81C24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D9B82" w14:textId="77777777" w:rsidR="00196CD7" w:rsidRDefault="00196C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B1D13" w14:textId="77777777" w:rsidR="006B436F" w:rsidRDefault="006B436F" w:rsidP="00442220">
      <w:r>
        <w:separator/>
      </w:r>
    </w:p>
  </w:footnote>
  <w:footnote w:type="continuationSeparator" w:id="0">
    <w:p w14:paraId="7328935B" w14:textId="77777777" w:rsidR="006B436F" w:rsidRDefault="006B436F" w:rsidP="00442220">
      <w:r>
        <w:continuationSeparator/>
      </w:r>
    </w:p>
  </w:footnote>
  <w:footnote w:type="continuationNotice" w:id="1">
    <w:p w14:paraId="72C33065" w14:textId="77777777" w:rsidR="006B436F" w:rsidRDefault="006B436F"/>
  </w:footnote>
  <w:footnote w:id="2">
    <w:p w14:paraId="64B54732" w14:textId="77777777" w:rsidR="00C43F63" w:rsidRPr="00FA1E25" w:rsidRDefault="00C43F63" w:rsidP="00C43F63">
      <w:pPr>
        <w:rPr>
          <w:rFonts w:cstheme="minorHAnsi"/>
        </w:rPr>
      </w:pPr>
      <w:r w:rsidRPr="00B50A16">
        <w:rPr>
          <w:rStyle w:val="Znakapoznpodarou"/>
          <w:rFonts w:cstheme="minorHAnsi"/>
          <w:szCs w:val="18"/>
        </w:rPr>
        <w:footnoteRef/>
      </w:r>
      <w:r w:rsidRPr="00B50A16">
        <w:rPr>
          <w:rFonts w:cstheme="minorHAnsi"/>
          <w:sz w:val="20"/>
          <w:szCs w:val="18"/>
        </w:rPr>
        <w:t xml:space="preserve"> Dodavatel uvede rejstříkový soud a spisovou značku zápisu. V případě, že dodavatel není zapsán ve veřejném rejstříku, uvede tuto skutečnost do kolonky „Údaj o zápisu do veřejného rejstříku“.</w:t>
      </w:r>
    </w:p>
  </w:footnote>
  <w:footnote w:id="3">
    <w:p w14:paraId="35E424A8" w14:textId="6F723F80" w:rsidR="00995C07" w:rsidRDefault="00995C0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95C07">
        <w:t xml:space="preserve">Zadavatel v souladu s § 86 odst. 2 ZZVZ </w:t>
      </w:r>
      <w:r>
        <w:t>stanovil</w:t>
      </w:r>
      <w:r w:rsidRPr="00995C07">
        <w:t xml:space="preserve">, že dodavatel nemůže předložení dokladů o splnění kvalifikačních předpokladů nahradit čestným prohlášením. </w:t>
      </w:r>
      <w:r>
        <w:t>Tento vzor čestného prohlášení slouží k prokázání těch kvalifikačních předpokladů, u nichž předpokládá prokázání jejich splnění pomocí čestného prohlášení</w:t>
      </w:r>
      <w:r w:rsidR="0027759C">
        <w:t xml:space="preserve"> přímo ZZVZ</w:t>
      </w:r>
      <w:r>
        <w:t xml:space="preserve">. </w:t>
      </w:r>
    </w:p>
  </w:footnote>
  <w:footnote w:id="4">
    <w:p w14:paraId="075E3092" w14:textId="27CC8733" w:rsidR="000107AD" w:rsidRDefault="000107AD" w:rsidP="000107AD">
      <w:pPr>
        <w:pStyle w:val="Textpoznpodarou"/>
      </w:pPr>
      <w:r>
        <w:rPr>
          <w:rStyle w:val="Znakapoznpodarou"/>
        </w:rPr>
        <w:footnoteRef/>
      </w:r>
      <w:r>
        <w:t xml:space="preserve"> Dodavatel zkopíruje a vyplní tuto tabulku podle počtu referenčních </w:t>
      </w:r>
      <w:r w:rsidR="007F3F02">
        <w:t>zakázek</w:t>
      </w:r>
      <w:r>
        <w:t xml:space="preserve"> podle potřeby. </w:t>
      </w:r>
    </w:p>
  </w:footnote>
  <w:footnote w:id="5">
    <w:p w14:paraId="3F0B1EA2" w14:textId="0975E4EF" w:rsidR="00341E77" w:rsidRDefault="00341E77">
      <w:pPr>
        <w:pStyle w:val="Textpoznpodarou"/>
      </w:pPr>
      <w:r>
        <w:rPr>
          <w:rStyle w:val="Znakapoznpodarou"/>
        </w:rPr>
        <w:footnoteRef/>
      </w:r>
      <w:r>
        <w:t xml:space="preserve"> Dodavatel ponechá pouze tu možnost, která odpovídá jeho využití Významných dodavatelů, a nevyhovující možnost odstraní.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AE1C" w14:textId="6C19B0D8" w:rsidR="00442220" w:rsidRPr="00D373B9" w:rsidRDefault="00442220" w:rsidP="00442220">
    <w:pPr>
      <w:pStyle w:val="Zhlav"/>
      <w:rPr>
        <w:sz w:val="20"/>
        <w:szCs w:val="20"/>
      </w:rPr>
    </w:pPr>
    <w:bookmarkStart w:id="7" w:name="_Hlk123908293"/>
    <w:bookmarkStart w:id="8" w:name="_Hlk123908294"/>
    <w:r w:rsidRPr="00D373B9">
      <w:rPr>
        <w:sz w:val="20"/>
        <w:szCs w:val="20"/>
      </w:rPr>
      <w:t xml:space="preserve">Příloha č. </w:t>
    </w:r>
    <w:r w:rsidR="00514E32">
      <w:rPr>
        <w:sz w:val="20"/>
        <w:szCs w:val="20"/>
      </w:rPr>
      <w:t>6</w:t>
    </w:r>
    <w:r w:rsidRPr="00D373B9">
      <w:rPr>
        <w:sz w:val="20"/>
        <w:szCs w:val="20"/>
      </w:rPr>
      <w:t xml:space="preserve"> </w:t>
    </w:r>
    <w:r w:rsidR="005D2B93">
      <w:rPr>
        <w:sz w:val="20"/>
        <w:szCs w:val="18"/>
      </w:rPr>
      <w:t>výzvy k podávání nabídek</w:t>
    </w:r>
    <w:r w:rsidRPr="00D373B9">
      <w:rPr>
        <w:sz w:val="20"/>
        <w:szCs w:val="20"/>
      </w:rPr>
      <w:tab/>
    </w:r>
  </w:p>
  <w:p w14:paraId="6ACC3312" w14:textId="60440C32" w:rsidR="005D2B93" w:rsidRPr="00F14FF7" w:rsidRDefault="005D2B93" w:rsidP="005D2B93">
    <w:pPr>
      <w:pStyle w:val="Zhlav"/>
      <w:rPr>
        <w:sz w:val="20"/>
        <w:szCs w:val="18"/>
      </w:rPr>
    </w:pPr>
    <w:bookmarkStart w:id="9" w:name="_Hlk217996077"/>
    <w:bookmarkEnd w:id="7"/>
    <w:bookmarkEnd w:id="8"/>
    <w:r w:rsidRPr="00F14FF7">
      <w:rPr>
        <w:sz w:val="20"/>
        <w:szCs w:val="18"/>
      </w:rPr>
      <w:t>Veřejná zakázka s názvem „</w:t>
    </w:r>
    <w:r w:rsidR="00C44C85" w:rsidRPr="00C44C85">
      <w:rPr>
        <w:sz w:val="20"/>
        <w:szCs w:val="18"/>
      </w:rPr>
      <w:t>Výstavba nové měnírny - MR 5 Šanov II, Teplice</w:t>
    </w:r>
    <w:r w:rsidRPr="00F14FF7">
      <w:rPr>
        <w:sz w:val="20"/>
        <w:szCs w:val="18"/>
      </w:rPr>
      <w:t>“</w:t>
    </w:r>
    <w:bookmarkEnd w:id="9"/>
  </w:p>
  <w:p w14:paraId="06E0DBF2" w14:textId="3726E92D" w:rsidR="00442220" w:rsidRPr="00D373B9" w:rsidRDefault="00442220" w:rsidP="005D2B93">
    <w:pPr>
      <w:pStyle w:val="Zhlav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5BE1"/>
    <w:multiLevelType w:val="hybridMultilevel"/>
    <w:tmpl w:val="2DF206EE"/>
    <w:lvl w:ilvl="0" w:tplc="CDC2336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E6861"/>
    <w:multiLevelType w:val="hybridMultilevel"/>
    <w:tmpl w:val="D32A82BA"/>
    <w:lvl w:ilvl="0" w:tplc="241E07C0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C33E66"/>
    <w:multiLevelType w:val="hybridMultilevel"/>
    <w:tmpl w:val="94E0B9BA"/>
    <w:lvl w:ilvl="0" w:tplc="241E07C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871E3A"/>
    <w:multiLevelType w:val="hybridMultilevel"/>
    <w:tmpl w:val="A5240402"/>
    <w:lvl w:ilvl="0" w:tplc="1A9AD868">
      <w:start w:val="1"/>
      <w:numFmt w:val="lowerRoman"/>
      <w:pStyle w:val="Styl1a"/>
      <w:lvlText w:val="%1."/>
      <w:lvlJc w:val="left"/>
      <w:pPr>
        <w:ind w:left="1287" w:hanging="360"/>
      </w:pPr>
      <w:rPr>
        <w:rFonts w:ascii="Calibri" w:eastAsia="Times New Roman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72B5289"/>
    <w:multiLevelType w:val="multilevel"/>
    <w:tmpl w:val="96A604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color w:val="auto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E0013D"/>
    <w:multiLevelType w:val="multilevel"/>
    <w:tmpl w:val="658C4B92"/>
    <w:lvl w:ilvl="0">
      <w:start w:val="1"/>
      <w:numFmt w:val="decimal"/>
      <w:pStyle w:val="SML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SML11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pStyle w:val="SML111"/>
      <w:lvlText w:val="%1.%2.%3.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3">
      <w:start w:val="1"/>
      <w:numFmt w:val="lowerRoman"/>
      <w:pStyle w:val="SMLi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ADF3625"/>
    <w:multiLevelType w:val="hybridMultilevel"/>
    <w:tmpl w:val="BC2C5EBE"/>
    <w:lvl w:ilvl="0" w:tplc="895AC52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6CF82C0D"/>
    <w:multiLevelType w:val="multilevel"/>
    <w:tmpl w:val="2A30BF0E"/>
    <w:lvl w:ilvl="0">
      <w:start w:val="1"/>
      <w:numFmt w:val="decimal"/>
      <w:pStyle w:val="Kapitola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CB7F2D"/>
    <w:multiLevelType w:val="hybridMultilevel"/>
    <w:tmpl w:val="FB766E5E"/>
    <w:lvl w:ilvl="0" w:tplc="F8684D3A">
      <w:start w:val="1"/>
      <w:numFmt w:val="lowerLetter"/>
      <w:lvlText w:val="%1)"/>
      <w:lvlJc w:val="left"/>
      <w:pPr>
        <w:ind w:left="2345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7D0B6C36"/>
    <w:multiLevelType w:val="hybridMultilevel"/>
    <w:tmpl w:val="703AE916"/>
    <w:lvl w:ilvl="0" w:tplc="241E07C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8668">
    <w:abstractNumId w:val="2"/>
  </w:num>
  <w:num w:numId="2" w16cid:durableId="988482081">
    <w:abstractNumId w:val="9"/>
  </w:num>
  <w:num w:numId="3" w16cid:durableId="1168062668">
    <w:abstractNumId w:val="1"/>
  </w:num>
  <w:num w:numId="4" w16cid:durableId="625896415">
    <w:abstractNumId w:val="4"/>
  </w:num>
  <w:num w:numId="5" w16cid:durableId="25257879">
    <w:abstractNumId w:val="5"/>
  </w:num>
  <w:num w:numId="6" w16cid:durableId="1849245606">
    <w:abstractNumId w:val="0"/>
  </w:num>
  <w:num w:numId="7" w16cid:durableId="1778016440">
    <w:abstractNumId w:val="5"/>
  </w:num>
  <w:num w:numId="8" w16cid:durableId="6331716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14340">
    <w:abstractNumId w:val="3"/>
  </w:num>
  <w:num w:numId="10" w16cid:durableId="521283095">
    <w:abstractNumId w:val="8"/>
  </w:num>
  <w:num w:numId="11" w16cid:durableId="14222630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NzQ1MTI1NLMwN7RQ0lEKTi0uzszPAykwrgUARd55XywAAAA="/>
  </w:docVars>
  <w:rsids>
    <w:rsidRoot w:val="00C8144C"/>
    <w:rsid w:val="000107AD"/>
    <w:rsid w:val="0008517B"/>
    <w:rsid w:val="000873A3"/>
    <w:rsid w:val="000C289B"/>
    <w:rsid w:val="001251F4"/>
    <w:rsid w:val="00131FC7"/>
    <w:rsid w:val="001669F5"/>
    <w:rsid w:val="00170CB2"/>
    <w:rsid w:val="00196CD7"/>
    <w:rsid w:val="001A4763"/>
    <w:rsid w:val="001B24E4"/>
    <w:rsid w:val="001C1E4B"/>
    <w:rsid w:val="001C4B6B"/>
    <w:rsid w:val="001C54C6"/>
    <w:rsid w:val="001D3A2E"/>
    <w:rsid w:val="002054ED"/>
    <w:rsid w:val="002541A2"/>
    <w:rsid w:val="0027293C"/>
    <w:rsid w:val="0027759C"/>
    <w:rsid w:val="00280157"/>
    <w:rsid w:val="00282D33"/>
    <w:rsid w:val="002B6EF6"/>
    <w:rsid w:val="002E41CD"/>
    <w:rsid w:val="002F6AE7"/>
    <w:rsid w:val="003054F5"/>
    <w:rsid w:val="00306140"/>
    <w:rsid w:val="003133F5"/>
    <w:rsid w:val="00322449"/>
    <w:rsid w:val="00340DC7"/>
    <w:rsid w:val="00341E77"/>
    <w:rsid w:val="00343509"/>
    <w:rsid w:val="00352F31"/>
    <w:rsid w:val="003B0305"/>
    <w:rsid w:val="003B0D36"/>
    <w:rsid w:val="003E09D9"/>
    <w:rsid w:val="003E3F31"/>
    <w:rsid w:val="00412656"/>
    <w:rsid w:val="00442220"/>
    <w:rsid w:val="0048752A"/>
    <w:rsid w:val="004A47E2"/>
    <w:rsid w:val="004B29F9"/>
    <w:rsid w:val="004C5A05"/>
    <w:rsid w:val="0051190E"/>
    <w:rsid w:val="00514E32"/>
    <w:rsid w:val="00567CFF"/>
    <w:rsid w:val="0057200B"/>
    <w:rsid w:val="00585F7C"/>
    <w:rsid w:val="005D2B93"/>
    <w:rsid w:val="005D6607"/>
    <w:rsid w:val="005E4012"/>
    <w:rsid w:val="005E550E"/>
    <w:rsid w:val="005F70FD"/>
    <w:rsid w:val="00624192"/>
    <w:rsid w:val="00633E55"/>
    <w:rsid w:val="006401C9"/>
    <w:rsid w:val="00676EFF"/>
    <w:rsid w:val="006839B0"/>
    <w:rsid w:val="00685714"/>
    <w:rsid w:val="00693CC9"/>
    <w:rsid w:val="006B436F"/>
    <w:rsid w:val="006C7292"/>
    <w:rsid w:val="007062E3"/>
    <w:rsid w:val="00742EB2"/>
    <w:rsid w:val="00754A51"/>
    <w:rsid w:val="00776E7A"/>
    <w:rsid w:val="00781FE9"/>
    <w:rsid w:val="00791DBF"/>
    <w:rsid w:val="007A3E65"/>
    <w:rsid w:val="007F3F02"/>
    <w:rsid w:val="0080560C"/>
    <w:rsid w:val="00810CBE"/>
    <w:rsid w:val="0081288B"/>
    <w:rsid w:val="00822850"/>
    <w:rsid w:val="008543A2"/>
    <w:rsid w:val="00880379"/>
    <w:rsid w:val="008967F0"/>
    <w:rsid w:val="008B7A98"/>
    <w:rsid w:val="008C5829"/>
    <w:rsid w:val="008C7867"/>
    <w:rsid w:val="008F7528"/>
    <w:rsid w:val="0091353E"/>
    <w:rsid w:val="00914D11"/>
    <w:rsid w:val="00914D5F"/>
    <w:rsid w:val="00915290"/>
    <w:rsid w:val="009323E5"/>
    <w:rsid w:val="00947386"/>
    <w:rsid w:val="00953650"/>
    <w:rsid w:val="009620D1"/>
    <w:rsid w:val="009627AC"/>
    <w:rsid w:val="0098361D"/>
    <w:rsid w:val="00983E3C"/>
    <w:rsid w:val="00995C07"/>
    <w:rsid w:val="009A4310"/>
    <w:rsid w:val="009D118D"/>
    <w:rsid w:val="009D462F"/>
    <w:rsid w:val="009E5C42"/>
    <w:rsid w:val="00A35D45"/>
    <w:rsid w:val="00A4406A"/>
    <w:rsid w:val="00A64255"/>
    <w:rsid w:val="00AB62BF"/>
    <w:rsid w:val="00AC19D5"/>
    <w:rsid w:val="00AE081A"/>
    <w:rsid w:val="00AF058B"/>
    <w:rsid w:val="00B20851"/>
    <w:rsid w:val="00B2495B"/>
    <w:rsid w:val="00B25995"/>
    <w:rsid w:val="00B81C24"/>
    <w:rsid w:val="00B86D29"/>
    <w:rsid w:val="00BA669A"/>
    <w:rsid w:val="00BC0694"/>
    <w:rsid w:val="00BC3FC6"/>
    <w:rsid w:val="00C01559"/>
    <w:rsid w:val="00C06D6A"/>
    <w:rsid w:val="00C432CC"/>
    <w:rsid w:val="00C43F63"/>
    <w:rsid w:val="00C44C85"/>
    <w:rsid w:val="00C46123"/>
    <w:rsid w:val="00C70EE3"/>
    <w:rsid w:val="00C8144C"/>
    <w:rsid w:val="00CB3A23"/>
    <w:rsid w:val="00CC3E9E"/>
    <w:rsid w:val="00D21F1D"/>
    <w:rsid w:val="00D373B9"/>
    <w:rsid w:val="00DB345C"/>
    <w:rsid w:val="00E07DF5"/>
    <w:rsid w:val="00E21DBF"/>
    <w:rsid w:val="00E24561"/>
    <w:rsid w:val="00E248C0"/>
    <w:rsid w:val="00E425AF"/>
    <w:rsid w:val="00E512EC"/>
    <w:rsid w:val="00E550A2"/>
    <w:rsid w:val="00E86008"/>
    <w:rsid w:val="00E86947"/>
    <w:rsid w:val="00ED19D7"/>
    <w:rsid w:val="00EE60C3"/>
    <w:rsid w:val="00EF0BED"/>
    <w:rsid w:val="00F1077F"/>
    <w:rsid w:val="00F10E8C"/>
    <w:rsid w:val="00F161AC"/>
    <w:rsid w:val="00F517B6"/>
    <w:rsid w:val="00F54899"/>
    <w:rsid w:val="00F64495"/>
    <w:rsid w:val="00F830EE"/>
    <w:rsid w:val="00F8777D"/>
    <w:rsid w:val="00FA2C5B"/>
    <w:rsid w:val="00FB108D"/>
    <w:rsid w:val="00FC446E"/>
    <w:rsid w:val="055BEDBE"/>
    <w:rsid w:val="12890866"/>
    <w:rsid w:val="4AA3017E"/>
    <w:rsid w:val="5E12E92E"/>
    <w:rsid w:val="7627C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DA1E3"/>
  <w15:chartTrackingRefBased/>
  <w15:docId w15:val="{CF84D1F2-16AE-4CE5-9DC1-C868D120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4012"/>
    <w:pPr>
      <w:spacing w:after="0" w:line="240" w:lineRule="auto"/>
      <w:jc w:val="both"/>
    </w:pPr>
    <w:rPr>
      <w:rFonts w:ascii="Calibri" w:eastAsia="Times New Roman" w:hAnsi="Calibri" w:cs="Calibri"/>
      <w:lang w:eastAsia="ar-SA"/>
    </w:rPr>
  </w:style>
  <w:style w:type="paragraph" w:styleId="Nadpis1">
    <w:name w:val="heading 1"/>
    <w:aliases w:val="Analyza 1,H1,Heading 10,Tacoma - Uroven 1"/>
    <w:basedOn w:val="Normln"/>
    <w:next w:val="Normln"/>
    <w:link w:val="Nadpis1Char"/>
    <w:uiPriority w:val="9"/>
    <w:qFormat/>
    <w:rsid w:val="005D2B93"/>
    <w:pPr>
      <w:keepNext/>
      <w:keepLines/>
      <w:tabs>
        <w:tab w:val="left" w:pos="709"/>
      </w:tabs>
      <w:spacing w:before="240" w:after="120"/>
      <w:ind w:left="709" w:hanging="709"/>
      <w:outlineLvl w:val="0"/>
    </w:pPr>
    <w:rPr>
      <w:rFonts w:cs="Arial"/>
      <w:b/>
      <w:bCs/>
      <w:kern w:val="32"/>
      <w:sz w:val="24"/>
      <w:szCs w:val="32"/>
      <w:lang w:eastAsia="cs-CZ"/>
    </w:rPr>
  </w:style>
  <w:style w:type="paragraph" w:styleId="Nadpis2">
    <w:name w:val="heading 2"/>
    <w:aliases w:val="Analyza 2,H2,Tacoma - Uroven 2"/>
    <w:basedOn w:val="Normln"/>
    <w:next w:val="Normln"/>
    <w:link w:val="Nadpis2Char"/>
    <w:uiPriority w:val="9"/>
    <w:qFormat/>
    <w:rsid w:val="005D2B93"/>
    <w:pPr>
      <w:keepNext/>
      <w:keepLines/>
      <w:tabs>
        <w:tab w:val="left" w:pos="709"/>
        <w:tab w:val="left" w:pos="7655"/>
      </w:tabs>
      <w:spacing w:before="240" w:after="120"/>
      <w:ind w:left="709" w:hanging="709"/>
      <w:outlineLvl w:val="1"/>
    </w:pPr>
    <w:rPr>
      <w:rFonts w:cs="Arial"/>
      <w:b/>
      <w:bCs/>
      <w:iCs/>
      <w:sz w:val="24"/>
      <w:szCs w:val="28"/>
      <w:lang w:eastAsia="cs-CZ"/>
    </w:rPr>
  </w:style>
  <w:style w:type="paragraph" w:styleId="Nadpis3">
    <w:name w:val="heading 3"/>
    <w:aliases w:val="Analyza 3"/>
    <w:basedOn w:val="Normln"/>
    <w:next w:val="Normln"/>
    <w:link w:val="Nadpis3Char"/>
    <w:uiPriority w:val="9"/>
    <w:unhideWhenUsed/>
    <w:qFormat/>
    <w:rsid w:val="009D4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2B93"/>
    <w:pPr>
      <w:spacing w:before="240" w:after="60"/>
      <w:ind w:left="709" w:hanging="709"/>
      <w:outlineLvl w:val="3"/>
    </w:pPr>
    <w:rPr>
      <w:rFonts w:cs="Times New Roman"/>
      <w:bCs/>
      <w:sz w:val="24"/>
      <w:szCs w:val="20"/>
      <w:lang w:val="la-Latn"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2B93"/>
    <w:pPr>
      <w:keepLines/>
      <w:spacing w:before="40" w:after="120"/>
      <w:ind w:left="709" w:hanging="709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D2B93"/>
    <w:pPr>
      <w:keepLines/>
      <w:spacing w:before="40" w:after="120"/>
      <w:ind w:left="709" w:hanging="709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D2B93"/>
    <w:pPr>
      <w:keepLines/>
      <w:spacing w:before="40" w:after="120"/>
      <w:ind w:left="709" w:hanging="709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D2B93"/>
    <w:pPr>
      <w:keepLines/>
      <w:spacing w:before="40" w:after="120"/>
      <w:ind w:left="709" w:hanging="709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D2B93"/>
    <w:pPr>
      <w:keepLines/>
      <w:spacing w:before="40" w:after="120"/>
      <w:ind w:left="709" w:hanging="709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5E40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E40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4012"/>
    <w:rPr>
      <w:rFonts w:ascii="Calibri" w:eastAsia="Times New Roman" w:hAnsi="Calibri" w:cs="Calibri"/>
      <w:sz w:val="20"/>
      <w:szCs w:val="20"/>
      <w:lang w:eastAsia="ar-SA"/>
    </w:rPr>
  </w:style>
  <w:style w:type="paragraph" w:styleId="Nzev">
    <w:name w:val="Title"/>
    <w:basedOn w:val="Normln"/>
    <w:next w:val="Normln"/>
    <w:link w:val="NzevChar"/>
    <w:qFormat/>
    <w:rsid w:val="005E4012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E4012"/>
    <w:rPr>
      <w:rFonts w:ascii="Calibri" w:eastAsia="Times New Roman" w:hAnsi="Calibri" w:cs="Calibri"/>
      <w:b/>
      <w:bCs/>
      <w:kern w:val="28"/>
      <w:sz w:val="32"/>
      <w:szCs w:val="32"/>
      <w:lang w:eastAsia="ar-SA"/>
    </w:rPr>
  </w:style>
  <w:style w:type="character" w:styleId="Siln">
    <w:name w:val="Strong"/>
    <w:qFormat/>
    <w:rsid w:val="005E4012"/>
    <w:rPr>
      <w:b/>
      <w:bCs/>
    </w:rPr>
  </w:style>
  <w:style w:type="paragraph" w:styleId="Zhlav">
    <w:name w:val="header"/>
    <w:basedOn w:val="Normln"/>
    <w:link w:val="ZhlavChar"/>
    <w:unhideWhenUsed/>
    <w:rsid w:val="004422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2220"/>
    <w:rPr>
      <w:rFonts w:ascii="Calibri" w:eastAsia="Times New Roman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422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2220"/>
    <w:rPr>
      <w:rFonts w:ascii="Calibri" w:eastAsia="Times New Roman" w:hAnsi="Calibri" w:cs="Calibri"/>
      <w:lang w:eastAsia="ar-SA"/>
    </w:rPr>
  </w:style>
  <w:style w:type="table" w:styleId="Mkatabulky">
    <w:name w:val="Table Grid"/>
    <w:basedOn w:val="Normlntabulka"/>
    <w:uiPriority w:val="39"/>
    <w:rsid w:val="00085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L1">
    <w:name w:val="!SML 1."/>
    <w:basedOn w:val="Nadpis3"/>
    <w:next w:val="SML11"/>
    <w:qFormat/>
    <w:rsid w:val="00322449"/>
    <w:pPr>
      <w:numPr>
        <w:numId w:val="5"/>
      </w:numPr>
      <w:spacing w:before="240" w:after="120"/>
      <w:ind w:left="851" w:hanging="851"/>
      <w:outlineLvl w:val="0"/>
    </w:pPr>
    <w:rPr>
      <w:rFonts w:ascii="Calibri" w:eastAsia="Calibri" w:hAnsi="Calibri" w:cs="Arial"/>
      <w:b/>
      <w:bCs/>
      <w:color w:val="auto"/>
      <w:szCs w:val="26"/>
      <w:shd w:val="clear" w:color="auto" w:fill="FFFFFF"/>
      <w:lang w:eastAsia="cs-CZ"/>
    </w:rPr>
  </w:style>
  <w:style w:type="paragraph" w:customStyle="1" w:styleId="SML11">
    <w:name w:val="!SML 1.1."/>
    <w:basedOn w:val="SML1"/>
    <w:link w:val="SML11Char"/>
    <w:qFormat/>
    <w:rsid w:val="009D462F"/>
    <w:pPr>
      <w:keepNext w:val="0"/>
      <w:keepLines w:val="0"/>
      <w:numPr>
        <w:ilvl w:val="1"/>
      </w:numPr>
      <w:spacing w:before="120"/>
      <w:ind w:left="851" w:hanging="851"/>
      <w:outlineLvl w:val="1"/>
    </w:pPr>
    <w:rPr>
      <w:b w:val="0"/>
    </w:rPr>
  </w:style>
  <w:style w:type="paragraph" w:customStyle="1" w:styleId="SML111">
    <w:name w:val="!SML 1.1.1."/>
    <w:basedOn w:val="SML11"/>
    <w:link w:val="SML111Char"/>
    <w:qFormat/>
    <w:rsid w:val="009D462F"/>
    <w:pPr>
      <w:numPr>
        <w:ilvl w:val="2"/>
      </w:numPr>
    </w:pPr>
  </w:style>
  <w:style w:type="paragraph" w:customStyle="1" w:styleId="SMLi">
    <w:name w:val="!SML i."/>
    <w:basedOn w:val="SML111"/>
    <w:link w:val="SMLiChar"/>
    <w:qFormat/>
    <w:rsid w:val="009D462F"/>
    <w:pPr>
      <w:numPr>
        <w:ilvl w:val="3"/>
      </w:numPr>
    </w:pPr>
  </w:style>
  <w:style w:type="character" w:customStyle="1" w:styleId="SML11Char">
    <w:name w:val="!SML 1.1. Char"/>
    <w:basedOn w:val="Standardnpsmoodstavce"/>
    <w:link w:val="SML11"/>
    <w:qFormat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SMLiChar">
    <w:name w:val="!SML i. Char"/>
    <w:basedOn w:val="Standardnpsmoodstavce"/>
    <w:link w:val="SMLi"/>
    <w:rsid w:val="009D462F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Nadpis3Char">
    <w:name w:val="Nadpis 3 Char"/>
    <w:aliases w:val="Analyza 3 Char"/>
    <w:basedOn w:val="Standardnpsmoodstavce"/>
    <w:link w:val="Nadpis3"/>
    <w:uiPriority w:val="9"/>
    <w:semiHidden/>
    <w:rsid w:val="009D462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43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4310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3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3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B86D29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19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19D5"/>
    <w:rPr>
      <w:rFonts w:ascii="Calibri" w:eastAsia="Times New Roman" w:hAnsi="Calibri" w:cs="Calibri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C19D5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0107A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107AD"/>
    <w:rPr>
      <w:rFonts w:ascii="Calibri" w:eastAsia="Times New Roman" w:hAnsi="Calibri" w:cs="Calibri"/>
      <w:lang w:eastAsia="ar-SA"/>
    </w:rPr>
  </w:style>
  <w:style w:type="paragraph" w:customStyle="1" w:styleId="Styl1a">
    <w:name w:val="Styl1 a)"/>
    <w:basedOn w:val="Odstavecseseznamem"/>
    <w:link w:val="Styl1aChar"/>
    <w:qFormat/>
    <w:rsid w:val="00D373B9"/>
    <w:pPr>
      <w:numPr>
        <w:numId w:val="9"/>
      </w:numPr>
      <w:spacing w:before="240" w:after="120"/>
    </w:pPr>
    <w:rPr>
      <w:rFonts w:cs="Times New Roman"/>
      <w:sz w:val="24"/>
      <w:szCs w:val="24"/>
      <w:lang w:eastAsia="cs-CZ"/>
    </w:rPr>
  </w:style>
  <w:style w:type="character" w:customStyle="1" w:styleId="Styl1aChar">
    <w:name w:val="Styl1 a) Char"/>
    <w:basedOn w:val="OdstavecseseznamemChar"/>
    <w:link w:val="Styl1a"/>
    <w:rsid w:val="00D373B9"/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Kapitola">
    <w:name w:val="Kapitola"/>
    <w:basedOn w:val="Odstavecseseznamem"/>
    <w:rsid w:val="00D373B9"/>
    <w:pPr>
      <w:numPr>
        <w:numId w:val="8"/>
      </w:numPr>
      <w:spacing w:before="120" w:after="120"/>
      <w:contextualSpacing w:val="0"/>
    </w:pPr>
    <w:rPr>
      <w:rFonts w:eastAsia="Calibri" w:cs="Times New Roman"/>
      <w:b/>
      <w:caps/>
      <w:sz w:val="24"/>
      <w:szCs w:val="24"/>
      <w:lang w:eastAsia="cs-CZ"/>
    </w:rPr>
  </w:style>
  <w:style w:type="character" w:customStyle="1" w:styleId="SML111Char">
    <w:name w:val="!SML 1.1.1. Char"/>
    <w:basedOn w:val="SML11Char"/>
    <w:link w:val="SML111"/>
    <w:rsid w:val="00D373B9"/>
    <w:rPr>
      <w:rFonts w:ascii="Calibri" w:eastAsia="Calibri" w:hAnsi="Calibri" w:cs="Arial"/>
      <w:bCs/>
      <w:sz w:val="24"/>
      <w:szCs w:val="26"/>
      <w:lang w:eastAsia="cs-CZ"/>
    </w:rPr>
  </w:style>
  <w:style w:type="character" w:customStyle="1" w:styleId="Nadpis1Char">
    <w:name w:val="Nadpis 1 Char"/>
    <w:aliases w:val="Analyza 1 Char,H1 Char,Heading 10 Char,Tacoma - Uroven 1 Char"/>
    <w:basedOn w:val="Standardnpsmoodstavce"/>
    <w:link w:val="Nadpis1"/>
    <w:uiPriority w:val="9"/>
    <w:rsid w:val="005D2B93"/>
    <w:rPr>
      <w:rFonts w:ascii="Calibri" w:eastAsia="Times New Roman" w:hAnsi="Calibri" w:cs="Arial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aliases w:val="Analyza 2 Char,H2 Char,Tacoma - Uroven 2 Char"/>
    <w:basedOn w:val="Standardnpsmoodstavce"/>
    <w:link w:val="Nadpis2"/>
    <w:uiPriority w:val="9"/>
    <w:rsid w:val="005D2B93"/>
    <w:rPr>
      <w:rFonts w:ascii="Calibri" w:eastAsia="Times New Roman" w:hAnsi="Calibri" w:cs="Arial"/>
      <w:b/>
      <w:bCs/>
      <w:iCs/>
      <w:sz w:val="24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D2B93"/>
    <w:rPr>
      <w:rFonts w:ascii="Calibri" w:eastAsia="Times New Roman" w:hAnsi="Calibri" w:cs="Times New Roman"/>
      <w:bCs/>
      <w:sz w:val="24"/>
      <w:szCs w:val="20"/>
      <w:lang w:val="la-Latn"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5D2B93"/>
    <w:rPr>
      <w:rFonts w:asciiTheme="majorHAnsi" w:eastAsiaTheme="majorEastAsia" w:hAnsiTheme="majorHAnsi" w:cstheme="majorBidi"/>
      <w:color w:val="2F5496" w:themeColor="accent1" w:themeShade="BF"/>
      <w:sz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B93"/>
    <w:rPr>
      <w:rFonts w:asciiTheme="majorHAnsi" w:eastAsiaTheme="majorEastAsia" w:hAnsiTheme="majorHAnsi" w:cstheme="majorBidi"/>
      <w:color w:val="1F3763" w:themeColor="accent1" w:themeShade="7F"/>
      <w:sz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B93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B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B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StylNadpis4Vlevo0cm">
    <w:name w:val="Styl Nadpis 4 + Vlevo:  0 cm"/>
    <w:basedOn w:val="Nadpis4"/>
    <w:rsid w:val="005D2B93"/>
    <w:pPr>
      <w:numPr>
        <w:ilvl w:val="3"/>
      </w:numPr>
      <w:ind w:left="709" w:hanging="709"/>
    </w:pPr>
    <w:rPr>
      <w:rFonts w:ascii="Arial" w:hAnsi="Arial"/>
      <w:b/>
    </w:rPr>
  </w:style>
  <w:style w:type="character" w:styleId="Hypertextovodkaz">
    <w:name w:val="Hyperlink"/>
    <w:basedOn w:val="Standardnpsmoodstavce"/>
    <w:uiPriority w:val="99"/>
    <w:rsid w:val="005D2B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4E7D015A3E47459928CEDE4309FEF7" ma:contentTypeVersion="14" ma:contentTypeDescription="Vytvoří nový dokument" ma:contentTypeScope="" ma:versionID="85a6deda744360445f682bdefe0d13c5">
  <xsd:schema xmlns:xsd="http://www.w3.org/2001/XMLSchema" xmlns:xs="http://www.w3.org/2001/XMLSchema" xmlns:p="http://schemas.microsoft.com/office/2006/metadata/properties" xmlns:ns3="791ffec8-a049-4779-98d9-acc7c89669e0" xmlns:ns4="8ede5901-022c-4c7b-90f3-2d8bfcc7d82c" targetNamespace="http://schemas.microsoft.com/office/2006/metadata/properties" ma:root="true" ma:fieldsID="5f1e02607ac76a9a6cdb8c848ea74612" ns3:_="" ns4:_="">
    <xsd:import namespace="791ffec8-a049-4779-98d9-acc7c89669e0"/>
    <xsd:import namespace="8ede5901-022c-4c7b-90f3-2d8bfcc7d82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ffec8-a049-4779-98d9-acc7c89669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e5901-022c-4c7b-90f3-2d8bfcc7d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de5901-022c-4c7b-90f3-2d8bfcc7d82c" xsi:nil="true"/>
  </documentManagement>
</p:properties>
</file>

<file path=customXml/itemProps1.xml><?xml version="1.0" encoding="utf-8"?>
<ds:datastoreItem xmlns:ds="http://schemas.openxmlformats.org/officeDocument/2006/customXml" ds:itemID="{417B13BD-8B3E-444C-A442-B2E3F8F2F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441A4E-4D71-4BF1-AB9E-8F5E6F3A2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8E432E-BAF0-43B1-8D04-60393C394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ffec8-a049-4779-98d9-acc7c89669e0"/>
    <ds:schemaRef ds:uri="8ede5901-022c-4c7b-90f3-2d8bfcc7d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DA5734-A124-43BF-A605-89DAD32D8891}">
  <ds:schemaRefs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791ffec8-a049-4779-98d9-acc7c89669e0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ede5901-022c-4c7b-90f3-2d8bfcc7d82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1250</Words>
  <Characters>7380</Characters>
  <Application>Microsoft Office Word</Application>
  <DocSecurity>0</DocSecurity>
  <Lines>61</Lines>
  <Paragraphs>17</Paragraphs>
  <ScaleCrop>false</ScaleCrop>
  <Company/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Tvrdoňová</dc:creator>
  <cp:keywords/>
  <dc:description/>
  <cp:lastModifiedBy>Tomáš Páleníček z KROUPALIDÉ</cp:lastModifiedBy>
  <cp:revision>24</cp:revision>
  <dcterms:created xsi:type="dcterms:W3CDTF">2025-12-30T13:15:00Z</dcterms:created>
  <dcterms:modified xsi:type="dcterms:W3CDTF">2026-02-10T14:26:00Z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0x010100924E7D015A3E47459928CEDE4309FEF7</vt:lpwstr>
  </property>
</Properties>
</file>